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006C3" w14:textId="77777777" w:rsidR="000167E8" w:rsidRPr="006B28D1" w:rsidRDefault="000167E8" w:rsidP="000167E8">
      <w:pPr>
        <w:jc w:val="center"/>
        <w:rPr>
          <w:rStyle w:val="Strong"/>
          <w:rFonts w:ascii="Arial" w:hAnsi="Arial" w:cs="Arial"/>
          <w:color w:val="CD232C"/>
          <w:sz w:val="22"/>
          <w:szCs w:val="22"/>
        </w:rPr>
      </w:pPr>
    </w:p>
    <w:p w14:paraId="2C46C4B2" w14:textId="77777777" w:rsidR="00531EBC" w:rsidRPr="00107164" w:rsidRDefault="00531EBC" w:rsidP="00531EBC">
      <w:pPr>
        <w:jc w:val="center"/>
        <w:rPr>
          <w:rFonts w:ascii="Arial" w:hAnsi="Arial" w:cs="Arial"/>
          <w:b/>
          <w:bCs/>
          <w:sz w:val="28"/>
          <w:szCs w:val="28"/>
        </w:rPr>
      </w:pPr>
      <w:r w:rsidRPr="00107164">
        <w:rPr>
          <w:rFonts w:ascii="Arial" w:hAnsi="Arial" w:cs="Arial"/>
          <w:b/>
          <w:bCs/>
          <w:sz w:val="28"/>
          <w:szCs w:val="28"/>
        </w:rPr>
        <w:t>A Practical and Systematic Approach to Evaluation of oral lesions</w:t>
      </w:r>
    </w:p>
    <w:p w14:paraId="31F4BCAD" w14:textId="77777777" w:rsidR="00531EBC" w:rsidRPr="006B28D1" w:rsidRDefault="00531EBC" w:rsidP="00531EBC">
      <w:pPr>
        <w:jc w:val="both"/>
        <w:rPr>
          <w:rFonts w:ascii="Arial" w:hAnsi="Arial" w:cs="Arial"/>
          <w:bCs/>
          <w:sz w:val="22"/>
          <w:szCs w:val="22"/>
        </w:rPr>
      </w:pPr>
    </w:p>
    <w:p w14:paraId="66380E41" w14:textId="511E8B4A" w:rsidR="00107164" w:rsidRPr="00755E66" w:rsidRDefault="00531EBC" w:rsidP="00107164">
      <w:pPr>
        <w:spacing w:before="100" w:beforeAutospacing="1"/>
        <w:jc w:val="both"/>
        <w:rPr>
          <w:rFonts w:ascii="Arial" w:hAnsi="Arial" w:cs="Arial"/>
        </w:rPr>
      </w:pPr>
      <w:r w:rsidRPr="00755E66">
        <w:rPr>
          <w:rFonts w:ascii="Arial" w:hAnsi="Arial" w:cs="Arial"/>
          <w:bCs/>
        </w:rPr>
        <w:t xml:space="preserve">In addition to examining the dental and periodontal structures, the oral health practitioners are expected to be familiar with the plethora of oral lesions which can present in the oral cavity.  This interactive, case-based presentation will provide practical guidelines for accurate initial assessment </w:t>
      </w:r>
      <w:r w:rsidR="00755E66" w:rsidRPr="00755E66">
        <w:rPr>
          <w:rFonts w:ascii="Arial" w:hAnsi="Arial" w:cs="Arial"/>
          <w:bCs/>
        </w:rPr>
        <w:t xml:space="preserve">and documentation </w:t>
      </w:r>
      <w:r w:rsidRPr="00755E66">
        <w:rPr>
          <w:rFonts w:ascii="Arial" w:hAnsi="Arial" w:cs="Arial"/>
          <w:bCs/>
        </w:rPr>
        <w:t xml:space="preserve">of </w:t>
      </w:r>
      <w:r w:rsidR="00755E66" w:rsidRPr="00755E66">
        <w:rPr>
          <w:rFonts w:ascii="Arial" w:hAnsi="Arial" w:cs="Arial"/>
          <w:bCs/>
        </w:rPr>
        <w:t xml:space="preserve">oral </w:t>
      </w:r>
      <w:r w:rsidRPr="00755E66">
        <w:rPr>
          <w:rFonts w:ascii="Arial" w:hAnsi="Arial" w:cs="Arial"/>
          <w:bCs/>
        </w:rPr>
        <w:t xml:space="preserve">lesions commonly seen in the dental office and </w:t>
      </w:r>
      <w:r w:rsidRPr="00755E66">
        <w:rPr>
          <w:rFonts w:ascii="Arial" w:hAnsi="Arial" w:cs="Arial"/>
        </w:rPr>
        <w:t>provide the oral health care provider with a level of comfort when he/she must make clinical decisions regarding management.</w:t>
      </w:r>
    </w:p>
    <w:p w14:paraId="47B4E3EA" w14:textId="4EA68B3A" w:rsidR="00107164" w:rsidRPr="00755E66" w:rsidRDefault="00531EBC" w:rsidP="00107164">
      <w:pPr>
        <w:spacing w:before="100" w:beforeAutospacing="1"/>
        <w:rPr>
          <w:rFonts w:ascii="Arial" w:hAnsi="Arial" w:cs="Arial"/>
        </w:rPr>
      </w:pPr>
      <w:r w:rsidRPr="00755E66">
        <w:rPr>
          <w:rFonts w:ascii="Arial" w:hAnsi="Arial" w:cs="Arial"/>
          <w:color w:val="000000"/>
        </w:rPr>
        <w:t xml:space="preserve"> </w:t>
      </w:r>
      <w:r w:rsidR="00107164" w:rsidRPr="00755E66">
        <w:rPr>
          <w:rFonts w:ascii="Arial" w:hAnsi="Arial" w:cs="Arial"/>
        </w:rPr>
        <w:t>At the conclusion of this activity, participants should be able to:</w:t>
      </w:r>
    </w:p>
    <w:p w14:paraId="25A1BE00" w14:textId="77777777" w:rsidR="00531EBC" w:rsidRPr="00755E66" w:rsidRDefault="00531EBC" w:rsidP="00531EBC">
      <w:pPr>
        <w:jc w:val="both"/>
        <w:rPr>
          <w:rFonts w:ascii="Arial" w:hAnsi="Arial" w:cs="Arial"/>
        </w:rPr>
      </w:pPr>
    </w:p>
    <w:p w14:paraId="4902DEB7" w14:textId="65EBB334" w:rsidR="00531EBC" w:rsidRPr="00755E66" w:rsidRDefault="00251E37" w:rsidP="00531EBC">
      <w:pPr>
        <w:numPr>
          <w:ilvl w:val="0"/>
          <w:numId w:val="5"/>
        </w:numPr>
        <w:autoSpaceDE w:val="0"/>
        <w:autoSpaceDN w:val="0"/>
        <w:adjustRightInd w:val="0"/>
        <w:rPr>
          <w:rFonts w:ascii="Arial" w:hAnsi="Arial" w:cs="Arial"/>
          <w:color w:val="292526"/>
        </w:rPr>
      </w:pPr>
      <w:r w:rsidRPr="00755E66">
        <w:rPr>
          <w:rFonts w:ascii="Arial" w:hAnsi="Arial" w:cs="Arial"/>
          <w:color w:val="292526"/>
        </w:rPr>
        <w:t>Des</w:t>
      </w:r>
      <w:r w:rsidR="00107164" w:rsidRPr="00755E66">
        <w:rPr>
          <w:rFonts w:ascii="Arial" w:hAnsi="Arial" w:cs="Arial"/>
          <w:color w:val="292526"/>
        </w:rPr>
        <w:t xml:space="preserve">cribe </w:t>
      </w:r>
      <w:r w:rsidR="00531EBC" w:rsidRPr="00755E66">
        <w:rPr>
          <w:rFonts w:ascii="Arial" w:hAnsi="Arial" w:cs="Arial"/>
          <w:color w:val="292526"/>
        </w:rPr>
        <w:t>variations of normal in the oral cavity</w:t>
      </w:r>
    </w:p>
    <w:p w14:paraId="0E26EEB8" w14:textId="77777777" w:rsidR="00531EBC" w:rsidRPr="00755E66" w:rsidRDefault="00531EBC" w:rsidP="00531EBC">
      <w:pPr>
        <w:numPr>
          <w:ilvl w:val="0"/>
          <w:numId w:val="5"/>
        </w:numPr>
        <w:jc w:val="both"/>
        <w:rPr>
          <w:rFonts w:ascii="Arial" w:hAnsi="Arial" w:cs="Arial"/>
          <w:color w:val="000000"/>
        </w:rPr>
      </w:pPr>
      <w:r w:rsidRPr="00755E66">
        <w:rPr>
          <w:rFonts w:ascii="Arial" w:hAnsi="Arial" w:cs="Arial"/>
          <w:color w:val="000000"/>
        </w:rPr>
        <w:t>Apply appropriate descriptive terminology in documenting oral lesions</w:t>
      </w:r>
    </w:p>
    <w:p w14:paraId="06A0D354" w14:textId="77777777" w:rsidR="00531EBC" w:rsidRPr="00755E66" w:rsidRDefault="00531EBC" w:rsidP="00531EBC">
      <w:pPr>
        <w:numPr>
          <w:ilvl w:val="0"/>
          <w:numId w:val="5"/>
        </w:numPr>
        <w:autoSpaceDE w:val="0"/>
        <w:autoSpaceDN w:val="0"/>
        <w:adjustRightInd w:val="0"/>
        <w:rPr>
          <w:rFonts w:ascii="Arial" w:hAnsi="Arial" w:cs="Arial"/>
          <w:color w:val="292526"/>
        </w:rPr>
      </w:pPr>
      <w:r w:rsidRPr="00755E66">
        <w:rPr>
          <w:rFonts w:ascii="Arial" w:hAnsi="Arial" w:cs="Arial"/>
          <w:color w:val="292526"/>
        </w:rPr>
        <w:t>Decide which lesions may be diagnosed clinically and how</w:t>
      </w:r>
    </w:p>
    <w:p w14:paraId="62D7DFC2" w14:textId="1AAC7A49" w:rsidR="00531EBC" w:rsidRPr="00755E66" w:rsidRDefault="00531EBC" w:rsidP="00531EBC">
      <w:pPr>
        <w:numPr>
          <w:ilvl w:val="0"/>
          <w:numId w:val="5"/>
        </w:numPr>
        <w:autoSpaceDE w:val="0"/>
        <w:autoSpaceDN w:val="0"/>
        <w:adjustRightInd w:val="0"/>
        <w:rPr>
          <w:rFonts w:ascii="Arial" w:hAnsi="Arial" w:cs="Arial"/>
          <w:color w:val="292526"/>
        </w:rPr>
      </w:pPr>
      <w:r w:rsidRPr="00755E66">
        <w:rPr>
          <w:rFonts w:ascii="Arial" w:hAnsi="Arial" w:cs="Arial"/>
          <w:color w:val="292526"/>
        </w:rPr>
        <w:t>Differentiate between lesions which should be “watched” versus those which should be assesse</w:t>
      </w:r>
      <w:r w:rsidR="00107164" w:rsidRPr="00755E66">
        <w:rPr>
          <w:rFonts w:ascii="Arial" w:hAnsi="Arial" w:cs="Arial"/>
          <w:color w:val="292526"/>
        </w:rPr>
        <w:t>d</w:t>
      </w:r>
      <w:r w:rsidRPr="00755E66">
        <w:rPr>
          <w:rFonts w:ascii="Arial" w:hAnsi="Arial" w:cs="Arial"/>
          <w:color w:val="292526"/>
        </w:rPr>
        <w:t xml:space="preserve"> immediately or referred?</w:t>
      </w:r>
    </w:p>
    <w:p w14:paraId="0EAFEFB2" w14:textId="69E82319" w:rsidR="00531EBC" w:rsidRPr="00755E66" w:rsidRDefault="00107164" w:rsidP="00531EBC">
      <w:pPr>
        <w:numPr>
          <w:ilvl w:val="0"/>
          <w:numId w:val="5"/>
        </w:numPr>
        <w:autoSpaceDE w:val="0"/>
        <w:autoSpaceDN w:val="0"/>
        <w:adjustRightInd w:val="0"/>
        <w:rPr>
          <w:rFonts w:ascii="Arial" w:hAnsi="Arial" w:cs="Arial"/>
          <w:color w:val="292526"/>
        </w:rPr>
      </w:pPr>
      <w:r w:rsidRPr="00755E66">
        <w:rPr>
          <w:rFonts w:ascii="Arial" w:hAnsi="Arial" w:cs="Arial"/>
          <w:color w:val="292526"/>
        </w:rPr>
        <w:t>Outline</w:t>
      </w:r>
      <w:r w:rsidR="00531EBC" w:rsidRPr="00755E66">
        <w:rPr>
          <w:rFonts w:ascii="Arial" w:hAnsi="Arial" w:cs="Arial"/>
          <w:color w:val="292526"/>
        </w:rPr>
        <w:t xml:space="preserve"> indications for biopsy and different types of biopsy techniques.</w:t>
      </w:r>
    </w:p>
    <w:p w14:paraId="0E8B2774" w14:textId="206AE5EC" w:rsidR="00531EBC" w:rsidRPr="00755E66" w:rsidRDefault="00107164" w:rsidP="00531EBC">
      <w:pPr>
        <w:numPr>
          <w:ilvl w:val="0"/>
          <w:numId w:val="5"/>
        </w:numPr>
        <w:autoSpaceDE w:val="0"/>
        <w:autoSpaceDN w:val="0"/>
        <w:adjustRightInd w:val="0"/>
        <w:rPr>
          <w:rFonts w:ascii="Arial" w:hAnsi="Arial" w:cs="Arial"/>
          <w:color w:val="292526"/>
        </w:rPr>
      </w:pPr>
      <w:r w:rsidRPr="00755E66">
        <w:rPr>
          <w:rFonts w:ascii="Arial" w:hAnsi="Arial" w:cs="Arial"/>
          <w:color w:val="292526"/>
        </w:rPr>
        <w:t xml:space="preserve">Describe management of </w:t>
      </w:r>
      <w:r w:rsidR="00531EBC" w:rsidRPr="00755E66">
        <w:rPr>
          <w:rFonts w:ascii="Arial" w:hAnsi="Arial" w:cs="Arial"/>
          <w:color w:val="292526"/>
        </w:rPr>
        <w:t xml:space="preserve">commonly occurring </w:t>
      </w:r>
      <w:r w:rsidRPr="00755E66">
        <w:rPr>
          <w:rFonts w:ascii="Arial" w:hAnsi="Arial" w:cs="Arial"/>
          <w:color w:val="292526"/>
        </w:rPr>
        <w:t xml:space="preserve">oral </w:t>
      </w:r>
      <w:r w:rsidR="00531EBC" w:rsidRPr="00755E66">
        <w:rPr>
          <w:rFonts w:ascii="Arial" w:hAnsi="Arial" w:cs="Arial"/>
          <w:color w:val="292526"/>
        </w:rPr>
        <w:t>conditions such as traumatic ulcers, canker sores, fever blisters, pyogenic granulomas, ANUG, thrush, angular cheilitis, hairy tongue, symptomatic geographic tongue</w:t>
      </w:r>
    </w:p>
    <w:p w14:paraId="0B7551EE" w14:textId="3E16E470" w:rsidR="00531EBC" w:rsidRPr="00755E66" w:rsidRDefault="00107164" w:rsidP="00531EBC">
      <w:pPr>
        <w:numPr>
          <w:ilvl w:val="0"/>
          <w:numId w:val="5"/>
        </w:numPr>
        <w:rPr>
          <w:rFonts w:ascii="Arial" w:hAnsi="Arial" w:cs="Arial"/>
        </w:rPr>
      </w:pPr>
      <w:r w:rsidRPr="00755E66">
        <w:rPr>
          <w:rFonts w:ascii="Arial" w:hAnsi="Arial" w:cs="Arial"/>
          <w:color w:val="292526"/>
        </w:rPr>
        <w:t>Summarize f</w:t>
      </w:r>
      <w:r w:rsidR="00531EBC" w:rsidRPr="00755E66">
        <w:rPr>
          <w:rFonts w:ascii="Arial" w:hAnsi="Arial" w:cs="Arial"/>
          <w:color w:val="292526"/>
        </w:rPr>
        <w:t>ollow-up regimen and documentation process.</w:t>
      </w:r>
    </w:p>
    <w:p w14:paraId="5906E75B" w14:textId="77777777" w:rsidR="00531EBC" w:rsidRPr="006B28D1" w:rsidRDefault="00531EBC" w:rsidP="00531EBC">
      <w:pPr>
        <w:jc w:val="center"/>
        <w:rPr>
          <w:rFonts w:ascii="Arial" w:hAnsi="Arial" w:cs="Arial"/>
          <w:b/>
          <w:sz w:val="22"/>
          <w:szCs w:val="22"/>
        </w:rPr>
      </w:pPr>
    </w:p>
    <w:p w14:paraId="358F4772" w14:textId="77777777" w:rsidR="00531EBC" w:rsidRPr="00107164" w:rsidRDefault="00531EBC" w:rsidP="00531EBC">
      <w:pPr>
        <w:jc w:val="center"/>
        <w:rPr>
          <w:rFonts w:ascii="Arial" w:hAnsi="Arial" w:cs="Arial"/>
          <w:b/>
          <w:bCs/>
          <w:sz w:val="28"/>
          <w:szCs w:val="28"/>
        </w:rPr>
      </w:pPr>
      <w:r w:rsidRPr="00107164">
        <w:rPr>
          <w:rFonts w:ascii="Arial" w:hAnsi="Arial" w:cs="Arial"/>
          <w:b/>
          <w:bCs/>
          <w:sz w:val="28"/>
          <w:szCs w:val="28"/>
        </w:rPr>
        <w:t xml:space="preserve">Oral Diagnosis Potpourri                     </w:t>
      </w:r>
    </w:p>
    <w:p w14:paraId="54B4A6C5" w14:textId="77777777" w:rsidR="00531EBC" w:rsidRPr="00755E66" w:rsidRDefault="00531EBC" w:rsidP="00531EBC">
      <w:pPr>
        <w:jc w:val="center"/>
        <w:rPr>
          <w:rFonts w:ascii="Arial" w:hAnsi="Arial" w:cs="Arial"/>
          <w:b/>
          <w:bCs/>
          <w:color w:val="FF0000"/>
        </w:rPr>
      </w:pPr>
    </w:p>
    <w:p w14:paraId="2CAC71D7" w14:textId="0CCB0FE4" w:rsidR="00B6171F" w:rsidRPr="00755E66" w:rsidRDefault="00531EBC" w:rsidP="00B6171F">
      <w:pPr>
        <w:jc w:val="both"/>
        <w:rPr>
          <w:rFonts w:ascii="Arial" w:hAnsi="Arial" w:cs="Arial"/>
        </w:rPr>
      </w:pPr>
      <w:r w:rsidRPr="00755E66">
        <w:rPr>
          <w:rFonts w:ascii="Arial" w:hAnsi="Arial" w:cs="Arial"/>
        </w:rPr>
        <w:t>Th</w:t>
      </w:r>
      <w:r w:rsidR="00107164" w:rsidRPr="00755E66">
        <w:rPr>
          <w:rFonts w:ascii="Arial" w:hAnsi="Arial" w:cs="Arial"/>
        </w:rPr>
        <w:t xml:space="preserve">is </w:t>
      </w:r>
      <w:r w:rsidR="00B6171F" w:rsidRPr="00755E66">
        <w:rPr>
          <w:rFonts w:ascii="Arial" w:hAnsi="Arial" w:cs="Arial"/>
        </w:rPr>
        <w:t xml:space="preserve">interactive, </w:t>
      </w:r>
      <w:r w:rsidR="00107164" w:rsidRPr="00755E66">
        <w:rPr>
          <w:rFonts w:ascii="Arial" w:hAnsi="Arial" w:cs="Arial"/>
        </w:rPr>
        <w:t xml:space="preserve">case-based </w:t>
      </w:r>
      <w:r w:rsidRPr="00755E66">
        <w:rPr>
          <w:rFonts w:ascii="Arial" w:hAnsi="Arial" w:cs="Arial"/>
        </w:rPr>
        <w:t xml:space="preserve">program presents a broad spectrum of soft and hard tissue pathologies dental providers may encounter in daily practice. </w:t>
      </w:r>
      <w:r w:rsidR="00107164" w:rsidRPr="00755E66">
        <w:rPr>
          <w:rFonts w:ascii="Arial" w:hAnsi="Arial" w:cs="Arial"/>
        </w:rPr>
        <w:t xml:space="preserve">The spectrum of abnormalities covered include variations of normal as well as pathology of traumatic, reactive, infectious and neoplastic etiology. </w:t>
      </w:r>
      <w:r w:rsidRPr="00755E66">
        <w:rPr>
          <w:rFonts w:ascii="Arial" w:hAnsi="Arial" w:cs="Arial"/>
        </w:rPr>
        <w:t xml:space="preserve">For each case, </w:t>
      </w:r>
      <w:r w:rsidR="00107164" w:rsidRPr="00755E66">
        <w:rPr>
          <w:rFonts w:ascii="Arial" w:hAnsi="Arial" w:cs="Arial"/>
        </w:rPr>
        <w:t xml:space="preserve">chief complaint, pertinent clinical and radiographic data </w:t>
      </w:r>
      <w:r w:rsidR="00B6171F" w:rsidRPr="00755E66">
        <w:rPr>
          <w:rFonts w:ascii="Arial" w:hAnsi="Arial" w:cs="Arial"/>
        </w:rPr>
        <w:t xml:space="preserve">are presented, pros and cons of diagnostic evaluation are discussed Presenter, then, discloses the diagnosis and highlights clinical pearls </w:t>
      </w:r>
      <w:r w:rsidR="00755E66" w:rsidRPr="00755E66">
        <w:rPr>
          <w:rFonts w:ascii="Arial" w:hAnsi="Arial" w:cs="Arial"/>
        </w:rPr>
        <w:t>pertinent to</w:t>
      </w:r>
      <w:r w:rsidR="00B6171F" w:rsidRPr="00755E66">
        <w:rPr>
          <w:rFonts w:ascii="Arial" w:hAnsi="Arial" w:cs="Arial"/>
        </w:rPr>
        <w:t xml:space="preserve"> </w:t>
      </w:r>
      <w:r w:rsidR="00755E66" w:rsidRPr="00755E66">
        <w:rPr>
          <w:rFonts w:ascii="Arial" w:hAnsi="Arial" w:cs="Arial"/>
        </w:rPr>
        <w:t xml:space="preserve">the </w:t>
      </w:r>
      <w:r w:rsidR="00B6171F" w:rsidRPr="00755E66">
        <w:rPr>
          <w:rFonts w:ascii="Arial" w:hAnsi="Arial" w:cs="Arial"/>
        </w:rPr>
        <w:t xml:space="preserve">case diagnosis and management. </w:t>
      </w:r>
    </w:p>
    <w:p w14:paraId="40EAD459" w14:textId="77777777" w:rsidR="00B6171F" w:rsidRPr="00755E66" w:rsidRDefault="00B6171F" w:rsidP="00B6171F">
      <w:pPr>
        <w:spacing w:before="100" w:beforeAutospacing="1"/>
        <w:rPr>
          <w:rFonts w:ascii="Arial" w:hAnsi="Arial" w:cs="Arial"/>
        </w:rPr>
      </w:pPr>
      <w:r w:rsidRPr="00755E66">
        <w:rPr>
          <w:rFonts w:ascii="Arial" w:hAnsi="Arial" w:cs="Arial"/>
        </w:rPr>
        <w:t>At the conclusion of this activity, participants should be able to:</w:t>
      </w:r>
    </w:p>
    <w:p w14:paraId="5C58420D" w14:textId="77777777" w:rsidR="00B6171F" w:rsidRPr="00755E66" w:rsidRDefault="00B6171F" w:rsidP="00B6171F">
      <w:pPr>
        <w:jc w:val="both"/>
        <w:rPr>
          <w:rFonts w:ascii="Arial" w:hAnsi="Arial" w:cs="Arial"/>
          <w:color w:val="000000"/>
        </w:rPr>
      </w:pPr>
    </w:p>
    <w:p w14:paraId="65493226"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Accurately categorize oral lesions to narrow down differential diagnosis</w:t>
      </w:r>
    </w:p>
    <w:p w14:paraId="4415C8D4"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 xml:space="preserve">Develop a prioritized list of differential diagnosis consistent with available data </w:t>
      </w:r>
    </w:p>
    <w:p w14:paraId="12C636F9"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Decide on pertinent diagnostic procedures such as imaging, auscultation, vitality testing, aspiration, blood tests, biopsy, etc.</w:t>
      </w:r>
    </w:p>
    <w:p w14:paraId="5937ACA5"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Select appropriate site for biopsy when indicated</w:t>
      </w:r>
    </w:p>
    <w:p w14:paraId="47E72D01"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Recognize salient histological features leading to definitive diagnosis</w:t>
      </w:r>
    </w:p>
    <w:p w14:paraId="0AB64AE5" w14:textId="77777777" w:rsidR="00531EBC" w:rsidRPr="00755E66" w:rsidRDefault="00531EBC" w:rsidP="00531EBC">
      <w:pPr>
        <w:numPr>
          <w:ilvl w:val="0"/>
          <w:numId w:val="8"/>
        </w:numPr>
        <w:jc w:val="both"/>
        <w:rPr>
          <w:rFonts w:ascii="Arial" w:hAnsi="Arial" w:cs="Arial"/>
          <w:color w:val="000000"/>
        </w:rPr>
      </w:pPr>
      <w:r w:rsidRPr="00755E66">
        <w:rPr>
          <w:rFonts w:ascii="Arial" w:hAnsi="Arial" w:cs="Arial"/>
          <w:color w:val="000000"/>
        </w:rPr>
        <w:t>Apply clinical pearls to appropriate management of cases discussed</w:t>
      </w:r>
    </w:p>
    <w:p w14:paraId="0E63EA44" w14:textId="77777777" w:rsidR="00531EBC" w:rsidRPr="00755E66" w:rsidRDefault="00531EBC" w:rsidP="00531EBC">
      <w:pPr>
        <w:jc w:val="both"/>
        <w:rPr>
          <w:rFonts w:ascii="Arial" w:hAnsi="Arial" w:cs="Arial"/>
          <w:color w:val="000000"/>
        </w:rPr>
      </w:pPr>
    </w:p>
    <w:p w14:paraId="5E531CD4" w14:textId="77777777" w:rsidR="00531EBC" w:rsidRPr="00755E66" w:rsidRDefault="00531EBC" w:rsidP="00531EBC">
      <w:pPr>
        <w:jc w:val="center"/>
        <w:rPr>
          <w:rFonts w:ascii="Arial" w:hAnsi="Arial" w:cs="Arial"/>
          <w:b/>
        </w:rPr>
      </w:pPr>
    </w:p>
    <w:p w14:paraId="1AE25F56" w14:textId="77777777" w:rsidR="005524A1" w:rsidRPr="00755E66" w:rsidRDefault="005524A1" w:rsidP="00531EBC">
      <w:pPr>
        <w:pStyle w:val="BodyText"/>
        <w:spacing w:after="0"/>
        <w:jc w:val="center"/>
        <w:rPr>
          <w:rFonts w:ascii="Arial" w:hAnsi="Arial" w:cs="Arial"/>
          <w:b/>
        </w:rPr>
      </w:pPr>
    </w:p>
    <w:p w14:paraId="5E802387" w14:textId="77777777" w:rsidR="005524A1" w:rsidRPr="00A0289C" w:rsidRDefault="005524A1" w:rsidP="00531EBC">
      <w:pPr>
        <w:pStyle w:val="BodyText"/>
        <w:spacing w:after="0"/>
        <w:jc w:val="center"/>
        <w:rPr>
          <w:rFonts w:ascii="Arial" w:hAnsi="Arial" w:cs="Arial"/>
          <w:b/>
          <w:sz w:val="28"/>
          <w:szCs w:val="28"/>
        </w:rPr>
      </w:pPr>
    </w:p>
    <w:p w14:paraId="5CF06D7B" w14:textId="68ADB875" w:rsidR="00531EBC" w:rsidRPr="00A0289C" w:rsidRDefault="00531EBC" w:rsidP="00531EBC">
      <w:pPr>
        <w:pStyle w:val="BodyText"/>
        <w:spacing w:after="0"/>
        <w:jc w:val="center"/>
        <w:rPr>
          <w:rFonts w:ascii="Arial" w:hAnsi="Arial" w:cs="Arial"/>
          <w:b/>
          <w:sz w:val="28"/>
          <w:szCs w:val="28"/>
        </w:rPr>
      </w:pPr>
      <w:r w:rsidRPr="00A0289C">
        <w:rPr>
          <w:rFonts w:ascii="Arial" w:hAnsi="Arial" w:cs="Arial"/>
          <w:b/>
          <w:sz w:val="28"/>
          <w:szCs w:val="28"/>
        </w:rPr>
        <w:t xml:space="preserve">Orofacial manifestations of systemic </w:t>
      </w:r>
      <w:proofErr w:type="gramStart"/>
      <w:r w:rsidRPr="00A0289C">
        <w:rPr>
          <w:rFonts w:ascii="Arial" w:hAnsi="Arial" w:cs="Arial"/>
          <w:b/>
          <w:sz w:val="28"/>
          <w:szCs w:val="28"/>
        </w:rPr>
        <w:t xml:space="preserve">disease  </w:t>
      </w:r>
      <w:r w:rsidR="005524A1" w:rsidRPr="00A0289C">
        <w:rPr>
          <w:rFonts w:ascii="Arial" w:hAnsi="Arial" w:cs="Arial"/>
          <w:b/>
          <w:sz w:val="28"/>
          <w:szCs w:val="28"/>
        </w:rPr>
        <w:t>1</w:t>
      </w:r>
      <w:proofErr w:type="gramEnd"/>
      <w:r w:rsidRPr="00A0289C">
        <w:rPr>
          <w:rFonts w:ascii="Arial" w:hAnsi="Arial" w:cs="Arial"/>
          <w:b/>
          <w:sz w:val="28"/>
          <w:szCs w:val="28"/>
        </w:rPr>
        <w:t xml:space="preserve">     </w:t>
      </w:r>
    </w:p>
    <w:p w14:paraId="0EA4DE61" w14:textId="77777777" w:rsidR="00531EBC" w:rsidRPr="00607A3E" w:rsidRDefault="00531EBC" w:rsidP="00531EBC">
      <w:pPr>
        <w:pStyle w:val="BodyText"/>
        <w:spacing w:after="0"/>
        <w:jc w:val="center"/>
        <w:rPr>
          <w:rFonts w:ascii="Arial" w:hAnsi="Arial" w:cs="Arial"/>
          <w:b/>
          <w:color w:val="FF0000"/>
        </w:rPr>
      </w:pPr>
    </w:p>
    <w:p w14:paraId="3C2B67C3" w14:textId="41235564" w:rsidR="005524A1" w:rsidRDefault="00531EBC" w:rsidP="00531EBC">
      <w:pPr>
        <w:autoSpaceDE w:val="0"/>
        <w:autoSpaceDN w:val="0"/>
        <w:adjustRightInd w:val="0"/>
        <w:jc w:val="both"/>
        <w:rPr>
          <w:rFonts w:ascii="Arial" w:hAnsi="Arial" w:cs="Arial"/>
        </w:rPr>
      </w:pPr>
      <w:r w:rsidRPr="00607A3E">
        <w:rPr>
          <w:rFonts w:ascii="Arial" w:hAnsi="Arial" w:cs="Arial"/>
        </w:rPr>
        <w:t>Oral cavity is readily accessible for inspection and a gateway for assessment of general health. In fact, many systemic conditions affecting organs far from head and neck region could manifest in the orofacial region, sometimes prior to their diagnosis. Abnormalities detected in the orofacial region may also represent complications related to medical therapy or raise concern about substance abuse. This program provides illustrative examples of orofacial findings associated with diagnosed or subjectively silent systemic disease</w:t>
      </w:r>
      <w:r w:rsidR="00251E37">
        <w:rPr>
          <w:rFonts w:ascii="Arial" w:hAnsi="Arial" w:cs="Arial"/>
        </w:rPr>
        <w:t xml:space="preserve">s including </w:t>
      </w:r>
      <w:r w:rsidR="00251E37" w:rsidRPr="00607A3E">
        <w:rPr>
          <w:rFonts w:ascii="Arial" w:hAnsi="Arial" w:cs="Arial"/>
        </w:rPr>
        <w:t xml:space="preserve">hereditary, hematologic, infectious, </w:t>
      </w:r>
      <w:proofErr w:type="spellStart"/>
      <w:r w:rsidR="00251E37" w:rsidRPr="00607A3E">
        <w:rPr>
          <w:rFonts w:ascii="Arial" w:hAnsi="Arial" w:cs="Arial"/>
        </w:rPr>
        <w:t>endocrinopathic</w:t>
      </w:r>
      <w:proofErr w:type="spellEnd"/>
      <w:r w:rsidR="00251E37">
        <w:rPr>
          <w:rFonts w:ascii="Arial" w:hAnsi="Arial" w:cs="Arial"/>
        </w:rPr>
        <w:t xml:space="preserve"> and </w:t>
      </w:r>
      <w:r w:rsidR="00251E37" w:rsidRPr="00607A3E">
        <w:rPr>
          <w:rFonts w:ascii="Arial" w:hAnsi="Arial" w:cs="Arial"/>
        </w:rPr>
        <w:t>metastatic conditions</w:t>
      </w:r>
      <w:r w:rsidRPr="00607A3E">
        <w:rPr>
          <w:rFonts w:ascii="Arial" w:hAnsi="Arial" w:cs="Arial"/>
        </w:rPr>
        <w:t xml:space="preserve">. Relevant signs, symptoms and diagnostics are reviewed and the potential role of oral health care provider in recognition, referral, follow-up and overall management is emphasized. </w:t>
      </w:r>
    </w:p>
    <w:p w14:paraId="0B49A772" w14:textId="77777777" w:rsidR="005524A1" w:rsidRPr="003B0AE7" w:rsidRDefault="005524A1" w:rsidP="00251E37">
      <w:pPr>
        <w:spacing w:before="100" w:beforeAutospacing="1"/>
        <w:rPr>
          <w:rFonts w:ascii="Arial" w:hAnsi="Arial" w:cs="Arial"/>
        </w:rPr>
      </w:pPr>
      <w:r w:rsidRPr="003B0AE7">
        <w:rPr>
          <w:rFonts w:ascii="Arial" w:hAnsi="Arial" w:cs="Arial"/>
        </w:rPr>
        <w:t>At the conclusion of this activity, participants should be able to:</w:t>
      </w:r>
    </w:p>
    <w:p w14:paraId="59362DAD" w14:textId="77777777" w:rsidR="00531EBC" w:rsidRPr="00607A3E" w:rsidRDefault="00531EBC" w:rsidP="00251E37">
      <w:pPr>
        <w:autoSpaceDE w:val="0"/>
        <w:autoSpaceDN w:val="0"/>
        <w:adjustRightInd w:val="0"/>
        <w:jc w:val="both"/>
        <w:rPr>
          <w:rFonts w:ascii="Arial" w:hAnsi="Arial" w:cs="Arial"/>
        </w:rPr>
      </w:pPr>
    </w:p>
    <w:p w14:paraId="0E832AB4" w14:textId="2891BF1F" w:rsidR="00531EBC" w:rsidRPr="00607A3E" w:rsidRDefault="005524A1" w:rsidP="00251E37">
      <w:pPr>
        <w:pStyle w:val="BodyText"/>
        <w:numPr>
          <w:ilvl w:val="0"/>
          <w:numId w:val="7"/>
        </w:numPr>
        <w:spacing w:after="0"/>
        <w:rPr>
          <w:rFonts w:ascii="Arial" w:hAnsi="Arial" w:cs="Arial"/>
        </w:rPr>
      </w:pPr>
      <w:r>
        <w:rPr>
          <w:rFonts w:ascii="Arial" w:hAnsi="Arial" w:cs="Arial"/>
        </w:rPr>
        <w:t xml:space="preserve">Describe </w:t>
      </w:r>
      <w:r w:rsidR="00531EBC" w:rsidRPr="00607A3E">
        <w:rPr>
          <w:rFonts w:ascii="Arial" w:hAnsi="Arial" w:cs="Arial"/>
        </w:rPr>
        <w:t xml:space="preserve">orofacial manifestations </w:t>
      </w:r>
      <w:r>
        <w:rPr>
          <w:rFonts w:ascii="Arial" w:hAnsi="Arial" w:cs="Arial"/>
        </w:rPr>
        <w:t xml:space="preserve">of </w:t>
      </w:r>
      <w:r w:rsidR="00531EBC" w:rsidRPr="00C164B5">
        <w:rPr>
          <w:rFonts w:ascii="Arial" w:hAnsi="Arial" w:cs="Arial"/>
          <w:color w:val="FF0000"/>
        </w:rPr>
        <w:t xml:space="preserve">hereditary, hematologic, infectious, </w:t>
      </w:r>
      <w:proofErr w:type="spellStart"/>
      <w:r w:rsidR="00251E37" w:rsidRPr="00C164B5">
        <w:rPr>
          <w:rFonts w:ascii="Arial" w:hAnsi="Arial" w:cs="Arial"/>
          <w:color w:val="FF0000"/>
        </w:rPr>
        <w:t>endocrinopathic</w:t>
      </w:r>
      <w:proofErr w:type="spellEnd"/>
      <w:r w:rsidRPr="00C164B5">
        <w:rPr>
          <w:rFonts w:ascii="Arial" w:hAnsi="Arial" w:cs="Arial"/>
          <w:color w:val="FF0000"/>
        </w:rPr>
        <w:t xml:space="preserve"> and </w:t>
      </w:r>
      <w:r w:rsidR="00531EBC" w:rsidRPr="00C164B5">
        <w:rPr>
          <w:rFonts w:ascii="Arial" w:hAnsi="Arial" w:cs="Arial"/>
          <w:color w:val="FF0000"/>
        </w:rPr>
        <w:t>metastatic</w:t>
      </w:r>
      <w:r w:rsidR="00531EBC" w:rsidRPr="00607A3E">
        <w:rPr>
          <w:rFonts w:ascii="Arial" w:hAnsi="Arial" w:cs="Arial"/>
        </w:rPr>
        <w:t xml:space="preserve"> conditions.</w:t>
      </w:r>
    </w:p>
    <w:p w14:paraId="590A0199" w14:textId="77777777" w:rsidR="00531EBC" w:rsidRPr="00607A3E" w:rsidRDefault="00531EBC" w:rsidP="00251E37">
      <w:pPr>
        <w:numPr>
          <w:ilvl w:val="0"/>
          <w:numId w:val="7"/>
        </w:numPr>
        <w:autoSpaceDE w:val="0"/>
        <w:autoSpaceDN w:val="0"/>
        <w:adjustRightInd w:val="0"/>
        <w:rPr>
          <w:rFonts w:ascii="Arial" w:hAnsi="Arial" w:cs="Arial"/>
          <w:color w:val="292526"/>
        </w:rPr>
      </w:pPr>
      <w:r w:rsidRPr="00607A3E">
        <w:rPr>
          <w:rFonts w:ascii="Arial" w:hAnsi="Arial" w:cs="Arial"/>
          <w:color w:val="292526"/>
        </w:rPr>
        <w:t>Diagnostic evaluation of patients with oral signs and symptoms of systemic disease.</w:t>
      </w:r>
    </w:p>
    <w:p w14:paraId="577CA8B4" w14:textId="77777777" w:rsidR="00531EBC" w:rsidRPr="00607A3E" w:rsidRDefault="00531EBC" w:rsidP="00251E37">
      <w:pPr>
        <w:numPr>
          <w:ilvl w:val="0"/>
          <w:numId w:val="7"/>
        </w:numPr>
        <w:autoSpaceDE w:val="0"/>
        <w:autoSpaceDN w:val="0"/>
        <w:adjustRightInd w:val="0"/>
        <w:rPr>
          <w:rFonts w:ascii="Arial" w:hAnsi="Arial" w:cs="Arial"/>
          <w:color w:val="000000"/>
        </w:rPr>
      </w:pPr>
      <w:r w:rsidRPr="00607A3E">
        <w:rPr>
          <w:rFonts w:ascii="Arial" w:hAnsi="Arial" w:cs="Arial"/>
          <w:color w:val="000000"/>
        </w:rPr>
        <w:t xml:space="preserve">Potential impact of these manifestations on oral care, prevention and appropriate management of dental complications </w:t>
      </w:r>
    </w:p>
    <w:p w14:paraId="6460D60F" w14:textId="77777777" w:rsidR="00531EBC" w:rsidRDefault="00531EBC" w:rsidP="00251E37">
      <w:pPr>
        <w:numPr>
          <w:ilvl w:val="0"/>
          <w:numId w:val="7"/>
        </w:numPr>
        <w:autoSpaceDE w:val="0"/>
        <w:autoSpaceDN w:val="0"/>
        <w:adjustRightInd w:val="0"/>
        <w:rPr>
          <w:rFonts w:ascii="Arial" w:hAnsi="Arial" w:cs="Arial"/>
          <w:color w:val="000000"/>
        </w:rPr>
      </w:pPr>
      <w:r w:rsidRPr="00607A3E">
        <w:rPr>
          <w:rFonts w:ascii="Arial" w:hAnsi="Arial" w:cs="Arial"/>
          <w:color w:val="000000"/>
        </w:rPr>
        <w:t>Follow-up regimen and documentation process</w:t>
      </w:r>
    </w:p>
    <w:p w14:paraId="0C09B3FE" w14:textId="77777777" w:rsidR="005524A1" w:rsidRDefault="005524A1" w:rsidP="005524A1">
      <w:pPr>
        <w:autoSpaceDE w:val="0"/>
        <w:autoSpaceDN w:val="0"/>
        <w:adjustRightInd w:val="0"/>
        <w:spacing w:after="60"/>
        <w:rPr>
          <w:rFonts w:ascii="Arial" w:hAnsi="Arial" w:cs="Arial"/>
          <w:color w:val="000000"/>
        </w:rPr>
      </w:pPr>
    </w:p>
    <w:p w14:paraId="1132B598" w14:textId="1D1FE171" w:rsidR="005524A1" w:rsidRPr="00A0289C" w:rsidRDefault="005524A1" w:rsidP="005524A1">
      <w:pPr>
        <w:pStyle w:val="BodyText"/>
        <w:spacing w:after="0"/>
        <w:jc w:val="center"/>
        <w:rPr>
          <w:rFonts w:ascii="Arial" w:hAnsi="Arial" w:cs="Arial"/>
          <w:b/>
          <w:sz w:val="28"/>
          <w:szCs w:val="28"/>
        </w:rPr>
      </w:pPr>
      <w:r w:rsidRPr="00A0289C">
        <w:rPr>
          <w:rFonts w:ascii="Arial" w:hAnsi="Arial" w:cs="Arial"/>
          <w:b/>
          <w:sz w:val="28"/>
          <w:szCs w:val="28"/>
        </w:rPr>
        <w:t xml:space="preserve">Orofacial manifestations of systemic disease 2      </w:t>
      </w:r>
    </w:p>
    <w:p w14:paraId="616D4F19" w14:textId="77777777" w:rsidR="005524A1" w:rsidRPr="00607A3E" w:rsidRDefault="005524A1" w:rsidP="005524A1">
      <w:pPr>
        <w:pStyle w:val="BodyText"/>
        <w:spacing w:after="0"/>
        <w:jc w:val="center"/>
        <w:rPr>
          <w:rFonts w:ascii="Arial" w:hAnsi="Arial" w:cs="Arial"/>
          <w:b/>
          <w:color w:val="FF0000"/>
        </w:rPr>
      </w:pPr>
    </w:p>
    <w:p w14:paraId="78530F16" w14:textId="7B6B1BC9" w:rsidR="005524A1" w:rsidRDefault="005524A1" w:rsidP="00251E37">
      <w:pPr>
        <w:pStyle w:val="BodyText"/>
        <w:spacing w:after="60"/>
        <w:jc w:val="both"/>
        <w:rPr>
          <w:rFonts w:ascii="Arial" w:hAnsi="Arial" w:cs="Arial"/>
        </w:rPr>
      </w:pPr>
      <w:r w:rsidRPr="00607A3E">
        <w:rPr>
          <w:rFonts w:ascii="Arial" w:hAnsi="Arial" w:cs="Arial"/>
        </w:rPr>
        <w:t>Oral cavity is readily accessible for inspection and a gateway for assessment of general health. In fact, many systemic conditions affecting organs far from head and neck region could manifest in the orofacial region, sometimes prior to their diagnosis. Abnormalities detected in the orofacial region may also represent complications related to medical therapy or raise concern about substance abuse. This program provides illustrative examples of orofacial findings associated with diagnosed or subjectively silent systemic disease</w:t>
      </w:r>
      <w:r w:rsidR="00251E37">
        <w:rPr>
          <w:rFonts w:ascii="Arial" w:hAnsi="Arial" w:cs="Arial"/>
        </w:rPr>
        <w:t xml:space="preserve">s including </w:t>
      </w:r>
      <w:r w:rsidR="00251E37" w:rsidRPr="00607A3E">
        <w:rPr>
          <w:rFonts w:ascii="Arial" w:hAnsi="Arial" w:cs="Arial"/>
        </w:rPr>
        <w:t>immune-mediated, dermatologic</w:t>
      </w:r>
      <w:r w:rsidR="00251E37">
        <w:rPr>
          <w:rFonts w:ascii="Arial" w:hAnsi="Arial" w:cs="Arial"/>
        </w:rPr>
        <w:t xml:space="preserve"> and </w:t>
      </w:r>
      <w:r w:rsidR="00251E37" w:rsidRPr="00607A3E">
        <w:rPr>
          <w:rFonts w:ascii="Arial" w:hAnsi="Arial" w:cs="Arial"/>
        </w:rPr>
        <w:t>granulomatous conditions</w:t>
      </w:r>
      <w:r w:rsidR="00251E37">
        <w:rPr>
          <w:rFonts w:ascii="Arial" w:hAnsi="Arial" w:cs="Arial"/>
        </w:rPr>
        <w:t xml:space="preserve">, medical therapy and substance use disorder. </w:t>
      </w:r>
      <w:r w:rsidRPr="00607A3E">
        <w:rPr>
          <w:rFonts w:ascii="Arial" w:hAnsi="Arial" w:cs="Arial"/>
        </w:rPr>
        <w:t>Relevant signs, symptoms and diagnostics are reviewed and the potential role of oral health care provider in recognition, referral, follow-up and overall management is emphasized.</w:t>
      </w:r>
    </w:p>
    <w:p w14:paraId="670EA847" w14:textId="77777777" w:rsidR="005524A1" w:rsidRPr="003B0AE7" w:rsidRDefault="005524A1" w:rsidP="00251E37">
      <w:pPr>
        <w:spacing w:before="100" w:beforeAutospacing="1"/>
        <w:rPr>
          <w:rFonts w:ascii="Arial" w:hAnsi="Arial" w:cs="Arial"/>
        </w:rPr>
      </w:pPr>
      <w:r w:rsidRPr="003B0AE7">
        <w:rPr>
          <w:rFonts w:ascii="Arial" w:hAnsi="Arial" w:cs="Arial"/>
        </w:rPr>
        <w:t>At the conclusion of this activity, participants should be able to:</w:t>
      </w:r>
    </w:p>
    <w:p w14:paraId="39806BD7" w14:textId="385A9A17" w:rsidR="005524A1" w:rsidRPr="00607A3E" w:rsidRDefault="005524A1" w:rsidP="00251E37">
      <w:pPr>
        <w:autoSpaceDE w:val="0"/>
        <w:autoSpaceDN w:val="0"/>
        <w:adjustRightInd w:val="0"/>
        <w:jc w:val="both"/>
        <w:rPr>
          <w:rFonts w:ascii="Arial" w:hAnsi="Arial" w:cs="Arial"/>
        </w:rPr>
      </w:pPr>
    </w:p>
    <w:p w14:paraId="75DD9A97" w14:textId="55D49046" w:rsidR="005524A1" w:rsidRPr="00C164B5" w:rsidRDefault="005524A1" w:rsidP="00251E37">
      <w:pPr>
        <w:pStyle w:val="BodyText"/>
        <w:numPr>
          <w:ilvl w:val="0"/>
          <w:numId w:val="7"/>
        </w:numPr>
        <w:spacing w:after="0"/>
        <w:rPr>
          <w:rFonts w:ascii="Arial" w:hAnsi="Arial" w:cs="Arial"/>
          <w:color w:val="FF0000"/>
        </w:rPr>
      </w:pPr>
      <w:r>
        <w:rPr>
          <w:rFonts w:ascii="Arial" w:hAnsi="Arial" w:cs="Arial"/>
        </w:rPr>
        <w:t xml:space="preserve">Describe </w:t>
      </w:r>
      <w:r w:rsidRPr="00607A3E">
        <w:rPr>
          <w:rFonts w:ascii="Arial" w:hAnsi="Arial" w:cs="Arial"/>
        </w:rPr>
        <w:t xml:space="preserve">orofacial </w:t>
      </w:r>
      <w:proofErr w:type="gramStart"/>
      <w:r w:rsidRPr="00607A3E">
        <w:rPr>
          <w:rFonts w:ascii="Arial" w:hAnsi="Arial" w:cs="Arial"/>
        </w:rPr>
        <w:t xml:space="preserve">manifestations </w:t>
      </w:r>
      <w:r>
        <w:rPr>
          <w:rFonts w:ascii="Arial" w:hAnsi="Arial" w:cs="Arial"/>
        </w:rPr>
        <w:t xml:space="preserve"> of</w:t>
      </w:r>
      <w:proofErr w:type="gramEnd"/>
      <w:r>
        <w:rPr>
          <w:rFonts w:ascii="Arial" w:hAnsi="Arial" w:cs="Arial"/>
        </w:rPr>
        <w:t xml:space="preserve"> </w:t>
      </w:r>
      <w:r w:rsidRPr="00C164B5">
        <w:rPr>
          <w:rFonts w:ascii="Arial" w:hAnsi="Arial" w:cs="Arial"/>
          <w:color w:val="FF0000"/>
        </w:rPr>
        <w:t xml:space="preserve">immune-mediated, dermatologic and granulomatous conditions </w:t>
      </w:r>
    </w:p>
    <w:p w14:paraId="51808D96" w14:textId="77777777" w:rsidR="005524A1" w:rsidRPr="00607A3E" w:rsidRDefault="005524A1" w:rsidP="00251E37">
      <w:pPr>
        <w:numPr>
          <w:ilvl w:val="0"/>
          <w:numId w:val="7"/>
        </w:numPr>
        <w:autoSpaceDE w:val="0"/>
        <w:autoSpaceDN w:val="0"/>
        <w:adjustRightInd w:val="0"/>
        <w:rPr>
          <w:rFonts w:ascii="Arial" w:hAnsi="Arial" w:cs="Arial"/>
          <w:color w:val="292526"/>
        </w:rPr>
      </w:pPr>
      <w:r w:rsidRPr="00607A3E">
        <w:rPr>
          <w:rFonts w:ascii="Arial" w:hAnsi="Arial" w:cs="Arial"/>
          <w:color w:val="292526"/>
        </w:rPr>
        <w:t>Diagnostic evaluation of patients with oral signs and symptoms of systemic disease.</w:t>
      </w:r>
    </w:p>
    <w:p w14:paraId="4BC4A1B6" w14:textId="0AECCD33" w:rsidR="005524A1" w:rsidRPr="00607A3E" w:rsidRDefault="005524A1" w:rsidP="00251E37">
      <w:pPr>
        <w:numPr>
          <w:ilvl w:val="0"/>
          <w:numId w:val="7"/>
        </w:numPr>
        <w:autoSpaceDE w:val="0"/>
        <w:autoSpaceDN w:val="0"/>
        <w:adjustRightInd w:val="0"/>
        <w:rPr>
          <w:rFonts w:ascii="Arial" w:hAnsi="Arial" w:cs="Arial"/>
          <w:color w:val="000000"/>
        </w:rPr>
      </w:pPr>
      <w:r w:rsidRPr="00607A3E">
        <w:rPr>
          <w:rFonts w:ascii="Arial" w:hAnsi="Arial" w:cs="Arial"/>
          <w:color w:val="000000"/>
        </w:rPr>
        <w:t xml:space="preserve">Orofacial findings associated with </w:t>
      </w:r>
      <w:r w:rsidRPr="00C164B5">
        <w:rPr>
          <w:rFonts w:ascii="Arial" w:hAnsi="Arial" w:cs="Arial"/>
          <w:color w:val="FF0000"/>
        </w:rPr>
        <w:t xml:space="preserve">medical therapy </w:t>
      </w:r>
      <w:r w:rsidR="00251E37" w:rsidRPr="00C164B5">
        <w:rPr>
          <w:rFonts w:ascii="Arial" w:hAnsi="Arial" w:cs="Arial"/>
          <w:color w:val="FF0000"/>
        </w:rPr>
        <w:t>and substance use disorder</w:t>
      </w:r>
    </w:p>
    <w:p w14:paraId="35BAC7E0" w14:textId="77777777" w:rsidR="005524A1" w:rsidRPr="00607A3E" w:rsidRDefault="005524A1" w:rsidP="00251E37">
      <w:pPr>
        <w:numPr>
          <w:ilvl w:val="0"/>
          <w:numId w:val="7"/>
        </w:numPr>
        <w:autoSpaceDE w:val="0"/>
        <w:autoSpaceDN w:val="0"/>
        <w:adjustRightInd w:val="0"/>
        <w:rPr>
          <w:rFonts w:ascii="Arial" w:hAnsi="Arial" w:cs="Arial"/>
          <w:color w:val="000000"/>
        </w:rPr>
      </w:pPr>
      <w:r w:rsidRPr="00607A3E">
        <w:rPr>
          <w:rFonts w:ascii="Arial" w:hAnsi="Arial" w:cs="Arial"/>
          <w:color w:val="000000"/>
        </w:rPr>
        <w:t xml:space="preserve">Potential impact of these manifestations on oral care, prevention and appropriate management of dental complications </w:t>
      </w:r>
    </w:p>
    <w:p w14:paraId="59929D69" w14:textId="77777777" w:rsidR="005524A1" w:rsidRPr="00607A3E" w:rsidRDefault="005524A1" w:rsidP="00251E37">
      <w:pPr>
        <w:numPr>
          <w:ilvl w:val="0"/>
          <w:numId w:val="7"/>
        </w:numPr>
        <w:autoSpaceDE w:val="0"/>
        <w:autoSpaceDN w:val="0"/>
        <w:adjustRightInd w:val="0"/>
        <w:rPr>
          <w:rFonts w:ascii="Arial" w:hAnsi="Arial" w:cs="Arial"/>
          <w:color w:val="000000"/>
        </w:rPr>
      </w:pPr>
      <w:r w:rsidRPr="00607A3E">
        <w:rPr>
          <w:rFonts w:ascii="Arial" w:hAnsi="Arial" w:cs="Arial"/>
          <w:color w:val="000000"/>
        </w:rPr>
        <w:t>Follow-up regimen and documentation process</w:t>
      </w:r>
    </w:p>
    <w:p w14:paraId="2AD0EC68" w14:textId="77777777" w:rsidR="005524A1" w:rsidRPr="00A0289C" w:rsidRDefault="005524A1" w:rsidP="00FF4D21">
      <w:pPr>
        <w:jc w:val="center"/>
        <w:rPr>
          <w:rFonts w:ascii="Arial" w:hAnsi="Arial" w:cs="Arial"/>
          <w:b/>
          <w:bCs/>
          <w:sz w:val="28"/>
          <w:szCs w:val="28"/>
        </w:rPr>
      </w:pPr>
    </w:p>
    <w:p w14:paraId="7991929C" w14:textId="72BBD46A" w:rsidR="00FF4D21" w:rsidRPr="00A0289C" w:rsidRDefault="00FF4D21" w:rsidP="00FF4D21">
      <w:pPr>
        <w:jc w:val="center"/>
        <w:rPr>
          <w:rFonts w:ascii="Arial" w:hAnsi="Arial" w:cs="Arial"/>
          <w:b/>
          <w:bCs/>
          <w:sz w:val="28"/>
          <w:szCs w:val="28"/>
        </w:rPr>
      </w:pPr>
      <w:r w:rsidRPr="00A0289C">
        <w:rPr>
          <w:rFonts w:ascii="Arial" w:hAnsi="Arial" w:cs="Arial"/>
          <w:b/>
          <w:bCs/>
          <w:sz w:val="28"/>
          <w:szCs w:val="28"/>
        </w:rPr>
        <w:t>Oropharyngeal Cancer: A Malignancy of Infectious Origin</w:t>
      </w:r>
    </w:p>
    <w:p w14:paraId="5417BF3A" w14:textId="7C2D9762" w:rsidR="005524A1" w:rsidRDefault="005524A1" w:rsidP="00FF4D21">
      <w:pPr>
        <w:jc w:val="center"/>
        <w:rPr>
          <w:rFonts w:ascii="Arial" w:hAnsi="Arial" w:cs="Arial"/>
          <w:b/>
          <w:bCs/>
        </w:rPr>
      </w:pPr>
      <w:r w:rsidRPr="005524A1">
        <w:rPr>
          <w:rFonts w:ascii="Arial" w:hAnsi="Arial" w:cs="Arial"/>
          <w:b/>
          <w:bCs/>
        </w:rPr>
        <w:t xml:space="preserve">A Call to Action </w:t>
      </w:r>
      <w:r w:rsidR="00251E37" w:rsidRPr="005524A1">
        <w:rPr>
          <w:rFonts w:ascii="Arial" w:hAnsi="Arial" w:cs="Arial"/>
          <w:b/>
          <w:bCs/>
        </w:rPr>
        <w:t>for</w:t>
      </w:r>
      <w:r w:rsidRPr="005524A1">
        <w:rPr>
          <w:rFonts w:ascii="Arial" w:hAnsi="Arial" w:cs="Arial"/>
          <w:b/>
          <w:bCs/>
        </w:rPr>
        <w:t xml:space="preserve"> Dental Professionals</w:t>
      </w:r>
    </w:p>
    <w:p w14:paraId="5293E65C" w14:textId="77777777" w:rsidR="005524A1" w:rsidRPr="005524A1" w:rsidRDefault="005524A1" w:rsidP="00FF4D21">
      <w:pPr>
        <w:jc w:val="center"/>
        <w:rPr>
          <w:rFonts w:ascii="Arial" w:hAnsi="Arial" w:cs="Arial"/>
          <w:b/>
          <w:bCs/>
        </w:rPr>
      </w:pPr>
    </w:p>
    <w:p w14:paraId="4C0318AF" w14:textId="3F934074" w:rsidR="00607A3E" w:rsidRPr="003B0AE7" w:rsidRDefault="00FF4D21" w:rsidP="00251E37">
      <w:pPr>
        <w:shd w:val="clear" w:color="auto" w:fill="FFFFFF"/>
        <w:jc w:val="both"/>
        <w:rPr>
          <w:rFonts w:ascii="Arial" w:hAnsi="Arial" w:cs="Arial"/>
          <w:bCs/>
        </w:rPr>
      </w:pPr>
      <w:r w:rsidRPr="003B0AE7">
        <w:rPr>
          <w:rFonts w:ascii="Arial" w:hAnsi="Arial" w:cs="Arial"/>
          <w:bCs/>
        </w:rPr>
        <w:t>Or</w:t>
      </w:r>
      <w:r w:rsidR="00607A3E" w:rsidRPr="003B0AE7">
        <w:rPr>
          <w:rFonts w:ascii="Arial" w:hAnsi="Arial" w:cs="Arial"/>
          <w:bCs/>
        </w:rPr>
        <w:t xml:space="preserve">opharyngeal cancer </w:t>
      </w:r>
      <w:r w:rsidRPr="003B0AE7">
        <w:rPr>
          <w:rFonts w:ascii="Arial" w:hAnsi="Arial" w:cs="Arial"/>
          <w:bCs/>
        </w:rPr>
        <w:t>refers to a malignancy arising from the epithelial lining of the or</w:t>
      </w:r>
      <w:r w:rsidR="00607A3E" w:rsidRPr="003B0AE7">
        <w:rPr>
          <w:rFonts w:ascii="Arial" w:hAnsi="Arial" w:cs="Arial"/>
          <w:bCs/>
        </w:rPr>
        <w:t>opharynx</w:t>
      </w:r>
      <w:r w:rsidRPr="003B0AE7">
        <w:rPr>
          <w:rFonts w:ascii="Arial" w:hAnsi="Arial" w:cs="Arial"/>
          <w:bCs/>
        </w:rPr>
        <w:t xml:space="preserve">. </w:t>
      </w:r>
      <w:r w:rsidR="00E52C7E" w:rsidRPr="003B0AE7">
        <w:rPr>
          <w:rFonts w:ascii="Arial" w:hAnsi="Arial" w:cs="Arial"/>
          <w:bCs/>
        </w:rPr>
        <w:t>In the United States, o</w:t>
      </w:r>
      <w:r w:rsidRPr="003B0AE7">
        <w:rPr>
          <w:rFonts w:ascii="Arial" w:hAnsi="Arial" w:cs="Arial"/>
          <w:bCs/>
        </w:rPr>
        <w:t xml:space="preserve">ver 70% of oropharyngeal cancers are infectious in origin and traced to persistent colonization of palatine and lingual tonsils by human papillomavirus. </w:t>
      </w:r>
      <w:r w:rsidR="00E52C7E" w:rsidRPr="003B0AE7">
        <w:rPr>
          <w:rFonts w:ascii="Arial" w:hAnsi="Arial" w:cs="Arial"/>
          <w:bCs/>
        </w:rPr>
        <w:t>In fact, c</w:t>
      </w:r>
      <w:r w:rsidRPr="003B0AE7">
        <w:rPr>
          <w:rFonts w:ascii="Arial" w:hAnsi="Arial" w:cs="Arial"/>
          <w:bCs/>
        </w:rPr>
        <w:t>arcinogenic strains of HPV have been linked to 6 different types of malignancy including cervical and oropharyngeal cancer.</w:t>
      </w:r>
      <w:r w:rsidR="00607A3E" w:rsidRPr="003B0AE7">
        <w:rPr>
          <w:rFonts w:ascii="Arial" w:hAnsi="Arial" w:cs="Arial"/>
          <w:bCs/>
        </w:rPr>
        <w:t xml:space="preserve"> This pr</w:t>
      </w:r>
      <w:r w:rsidR="00095EB4" w:rsidRPr="003B0AE7">
        <w:rPr>
          <w:rFonts w:ascii="Arial" w:hAnsi="Arial" w:cs="Arial"/>
          <w:bCs/>
        </w:rPr>
        <w:t>ogram</w:t>
      </w:r>
      <w:r w:rsidR="00607A3E" w:rsidRPr="003B0AE7">
        <w:rPr>
          <w:rFonts w:ascii="Arial" w:hAnsi="Arial" w:cs="Arial"/>
          <w:bCs/>
        </w:rPr>
        <w:t xml:space="preserve"> reviews demographics, clinical features</w:t>
      </w:r>
      <w:r w:rsidR="007D572A" w:rsidRPr="003B0AE7">
        <w:rPr>
          <w:rFonts w:ascii="Arial" w:hAnsi="Arial" w:cs="Arial"/>
          <w:bCs/>
        </w:rPr>
        <w:t>, risk factors</w:t>
      </w:r>
      <w:r w:rsidR="00607A3E" w:rsidRPr="003B0AE7">
        <w:rPr>
          <w:rFonts w:ascii="Arial" w:hAnsi="Arial" w:cs="Arial"/>
          <w:bCs/>
        </w:rPr>
        <w:t xml:space="preserve"> and prognosis of HPV+ oropharyngeal cancers, discusses the</w:t>
      </w:r>
      <w:r w:rsidR="00A0345E" w:rsidRPr="003B0AE7">
        <w:rPr>
          <w:rFonts w:ascii="Arial" w:hAnsi="Arial" w:cs="Arial"/>
          <w:bCs/>
        </w:rPr>
        <w:t xml:space="preserve"> unique</w:t>
      </w:r>
      <w:r w:rsidR="00607A3E" w:rsidRPr="003B0AE7">
        <w:rPr>
          <w:rFonts w:ascii="Arial" w:hAnsi="Arial" w:cs="Arial"/>
          <w:bCs/>
        </w:rPr>
        <w:t xml:space="preserve"> </w:t>
      </w:r>
      <w:r w:rsidR="00095EB4" w:rsidRPr="003B0AE7">
        <w:rPr>
          <w:rFonts w:ascii="Arial" w:hAnsi="Arial" w:cs="Arial"/>
          <w:bCs/>
        </w:rPr>
        <w:t xml:space="preserve">and multifaceted </w:t>
      </w:r>
      <w:r w:rsidR="00607A3E" w:rsidRPr="003B0AE7">
        <w:rPr>
          <w:rFonts w:ascii="Arial" w:hAnsi="Arial" w:cs="Arial"/>
          <w:bCs/>
        </w:rPr>
        <w:t>role of dental professionals in prevention of this malignancy and highlights legislative initiatives aimed at including HPV vaccination in the scope of dental practice.</w:t>
      </w:r>
    </w:p>
    <w:p w14:paraId="6A904028" w14:textId="77777777" w:rsidR="00A0345E" w:rsidRPr="003B0AE7" w:rsidRDefault="00A0345E" w:rsidP="00251E37">
      <w:pPr>
        <w:spacing w:before="100" w:beforeAutospacing="1"/>
        <w:rPr>
          <w:rFonts w:ascii="Arial" w:hAnsi="Arial" w:cs="Arial"/>
        </w:rPr>
      </w:pPr>
      <w:r w:rsidRPr="003B0AE7">
        <w:rPr>
          <w:rFonts w:ascii="Arial" w:hAnsi="Arial" w:cs="Arial"/>
        </w:rPr>
        <w:t>At the conclusion of this activity, participants should be able to:</w:t>
      </w:r>
    </w:p>
    <w:p w14:paraId="3AFA3E36" w14:textId="77777777" w:rsidR="00A0345E" w:rsidRPr="003B0AE7" w:rsidRDefault="00A0345E" w:rsidP="00251E37">
      <w:pPr>
        <w:numPr>
          <w:ilvl w:val="0"/>
          <w:numId w:val="11"/>
        </w:numPr>
        <w:spacing w:before="100" w:beforeAutospacing="1"/>
        <w:rPr>
          <w:rFonts w:ascii="Arial" w:hAnsi="Arial" w:cs="Arial"/>
        </w:rPr>
      </w:pPr>
      <w:r w:rsidRPr="003B0AE7">
        <w:rPr>
          <w:rFonts w:ascii="Arial" w:hAnsi="Arial" w:cs="Arial"/>
        </w:rPr>
        <w:t>Describe the epidemiology, transmission and natural history of HPV infection.</w:t>
      </w:r>
    </w:p>
    <w:p w14:paraId="2D3164E0" w14:textId="0F4FA55C" w:rsidR="00A0345E" w:rsidRPr="003B0AE7" w:rsidRDefault="003E51D1" w:rsidP="00251E37">
      <w:pPr>
        <w:numPr>
          <w:ilvl w:val="0"/>
          <w:numId w:val="11"/>
        </w:numPr>
        <w:spacing w:before="100" w:beforeAutospacing="1"/>
        <w:rPr>
          <w:rFonts w:ascii="Arial" w:hAnsi="Arial" w:cs="Arial"/>
        </w:rPr>
      </w:pPr>
      <w:r w:rsidRPr="003B0AE7">
        <w:rPr>
          <w:rFonts w:ascii="Arial" w:hAnsi="Arial" w:cs="Arial"/>
        </w:rPr>
        <w:t>Recognize</w:t>
      </w:r>
      <w:r w:rsidR="00A0345E" w:rsidRPr="003B0AE7">
        <w:rPr>
          <w:rFonts w:ascii="Arial" w:hAnsi="Arial" w:cs="Arial"/>
        </w:rPr>
        <w:t xml:space="preserve"> the potential clinical </w:t>
      </w:r>
      <w:r w:rsidR="00A0345E" w:rsidRPr="003B0AE7">
        <w:rPr>
          <w:rFonts w:ascii="Arial" w:hAnsi="Arial" w:cs="Arial"/>
          <w:color w:val="000000"/>
        </w:rPr>
        <w:t>sequelae of persistent HPV infection including mucocutaneous warts &amp; malignancy</w:t>
      </w:r>
      <w:r w:rsidR="00A0345E" w:rsidRPr="003B0AE7">
        <w:rPr>
          <w:rFonts w:ascii="Arial" w:hAnsi="Arial" w:cs="Arial"/>
        </w:rPr>
        <w:t xml:space="preserve"> </w:t>
      </w:r>
    </w:p>
    <w:p w14:paraId="5AF7B53F" w14:textId="11B3D74C" w:rsidR="00A0345E" w:rsidRPr="003B0AE7" w:rsidRDefault="003E51D1" w:rsidP="00251E37">
      <w:pPr>
        <w:pStyle w:val="ListParagraph"/>
        <w:numPr>
          <w:ilvl w:val="0"/>
          <w:numId w:val="11"/>
        </w:numPr>
        <w:textAlignment w:val="baseline"/>
        <w:rPr>
          <w:rFonts w:ascii="Arial" w:hAnsi="Arial" w:cs="Arial"/>
        </w:rPr>
      </w:pPr>
      <w:r w:rsidRPr="003B0AE7">
        <w:rPr>
          <w:rFonts w:ascii="Arial" w:hAnsi="Arial" w:cs="Arial"/>
          <w:color w:val="000000"/>
        </w:rPr>
        <w:t>Explain d</w:t>
      </w:r>
      <w:r w:rsidR="00A0345E" w:rsidRPr="003B0AE7">
        <w:rPr>
          <w:rFonts w:ascii="Arial" w:hAnsi="Arial" w:cs="Arial"/>
          <w:color w:val="000000"/>
        </w:rPr>
        <w:t xml:space="preserve">emographics, presentation and prognosis of HPV+ oropharyngeal cancer </w:t>
      </w:r>
    </w:p>
    <w:p w14:paraId="06E81F6E" w14:textId="77777777" w:rsidR="00095EB4" w:rsidRPr="003B0AE7" w:rsidRDefault="003E51D1" w:rsidP="00251E37">
      <w:pPr>
        <w:pStyle w:val="NormalWeb"/>
        <w:numPr>
          <w:ilvl w:val="0"/>
          <w:numId w:val="11"/>
        </w:numPr>
        <w:spacing w:after="0" w:afterAutospacing="0"/>
        <w:rPr>
          <w:rFonts w:ascii="Arial" w:hAnsi="Arial" w:cs="Arial"/>
        </w:rPr>
      </w:pPr>
      <w:r w:rsidRPr="003B0AE7">
        <w:rPr>
          <w:rFonts w:ascii="Arial" w:hAnsi="Arial" w:cs="Arial"/>
          <w:color w:val="000000"/>
        </w:rPr>
        <w:t>Discuss s</w:t>
      </w:r>
      <w:r w:rsidR="00607A3E" w:rsidRPr="003B0AE7">
        <w:rPr>
          <w:rFonts w:ascii="Arial" w:hAnsi="Arial" w:cs="Arial"/>
          <w:color w:val="000000"/>
        </w:rPr>
        <w:t>afety</w:t>
      </w:r>
      <w:r w:rsidRPr="003B0AE7">
        <w:rPr>
          <w:rFonts w:ascii="Arial" w:hAnsi="Arial" w:cs="Arial"/>
          <w:color w:val="000000"/>
        </w:rPr>
        <w:t xml:space="preserve"> and </w:t>
      </w:r>
      <w:r w:rsidR="00607A3E" w:rsidRPr="003B0AE7">
        <w:rPr>
          <w:rFonts w:ascii="Arial" w:hAnsi="Arial" w:cs="Arial"/>
          <w:color w:val="000000"/>
        </w:rPr>
        <w:t xml:space="preserve">efficacy </w:t>
      </w:r>
      <w:r w:rsidRPr="003B0AE7">
        <w:rPr>
          <w:rFonts w:ascii="Arial" w:hAnsi="Arial" w:cs="Arial"/>
          <w:color w:val="000000"/>
        </w:rPr>
        <w:t xml:space="preserve">of </w:t>
      </w:r>
      <w:r w:rsidR="00607A3E" w:rsidRPr="003B0AE7">
        <w:rPr>
          <w:rFonts w:ascii="Arial" w:hAnsi="Arial" w:cs="Arial"/>
          <w:color w:val="000000"/>
        </w:rPr>
        <w:t>HPV vaccine</w:t>
      </w:r>
      <w:r w:rsidRPr="003B0AE7">
        <w:rPr>
          <w:rFonts w:ascii="Arial" w:hAnsi="Arial" w:cs="Arial"/>
          <w:color w:val="000000"/>
        </w:rPr>
        <w:t xml:space="preserve"> and the American Dental Association position on HPV vaccination</w:t>
      </w:r>
    </w:p>
    <w:p w14:paraId="36BA0183" w14:textId="32144302" w:rsidR="003B0AE7" w:rsidRPr="003B0AE7" w:rsidRDefault="003B0AE7" w:rsidP="00251E37">
      <w:pPr>
        <w:pStyle w:val="NormalWeb"/>
        <w:numPr>
          <w:ilvl w:val="0"/>
          <w:numId w:val="11"/>
        </w:numPr>
        <w:spacing w:after="0" w:afterAutospacing="0"/>
        <w:rPr>
          <w:rFonts w:ascii="Arial" w:hAnsi="Arial" w:cs="Arial"/>
        </w:rPr>
      </w:pPr>
      <w:r w:rsidRPr="003B0AE7">
        <w:rPr>
          <w:rFonts w:ascii="Arial" w:hAnsi="Arial" w:cs="Arial"/>
        </w:rPr>
        <w:t xml:space="preserve">Detail </w:t>
      </w:r>
      <w:r w:rsidR="00095EB4" w:rsidRPr="003B0AE7">
        <w:rPr>
          <w:rFonts w:ascii="Arial" w:hAnsi="Arial" w:cs="Arial"/>
        </w:rPr>
        <w:t xml:space="preserve">the unique position of dental professionals </w:t>
      </w:r>
      <w:r w:rsidRPr="003B0AE7">
        <w:rPr>
          <w:rFonts w:ascii="Arial" w:hAnsi="Arial" w:cs="Arial"/>
        </w:rPr>
        <w:t xml:space="preserve">in oropharyngeal cancer prevention- specifically, </w:t>
      </w:r>
      <w:r w:rsidR="00095EB4" w:rsidRPr="003B0AE7">
        <w:rPr>
          <w:rFonts w:ascii="Arial" w:hAnsi="Arial" w:cs="Arial"/>
        </w:rPr>
        <w:t>patient education</w:t>
      </w:r>
      <w:r w:rsidRPr="003B0AE7">
        <w:rPr>
          <w:rFonts w:ascii="Arial" w:hAnsi="Arial" w:cs="Arial"/>
        </w:rPr>
        <w:t xml:space="preserve"> about HPV-related risks</w:t>
      </w:r>
      <w:r w:rsidR="00095EB4" w:rsidRPr="003B0AE7">
        <w:rPr>
          <w:rFonts w:ascii="Arial" w:hAnsi="Arial" w:cs="Arial"/>
        </w:rPr>
        <w:t xml:space="preserve">, </w:t>
      </w:r>
      <w:r w:rsidRPr="003B0AE7">
        <w:rPr>
          <w:rFonts w:ascii="Arial" w:hAnsi="Arial" w:cs="Arial"/>
        </w:rPr>
        <w:t>encouraging HPV vaccination for eligible individuals</w:t>
      </w:r>
      <w:r w:rsidR="00095EB4" w:rsidRPr="003B0AE7">
        <w:rPr>
          <w:rFonts w:ascii="Arial" w:hAnsi="Arial" w:cs="Arial"/>
        </w:rPr>
        <w:t xml:space="preserve"> </w:t>
      </w:r>
      <w:r w:rsidRPr="003B0AE7">
        <w:rPr>
          <w:rFonts w:ascii="Arial" w:hAnsi="Arial" w:cs="Arial"/>
        </w:rPr>
        <w:t>and, where permitted, vaccine administration within the dental setting</w:t>
      </w:r>
    </w:p>
    <w:p w14:paraId="233BB062" w14:textId="1F17A3AD" w:rsidR="00A0345E" w:rsidRPr="00095EB4" w:rsidRDefault="00A0345E" w:rsidP="003B0AE7">
      <w:pPr>
        <w:pStyle w:val="NormalWeb"/>
        <w:spacing w:after="0" w:afterAutospacing="0"/>
        <w:ind w:left="720"/>
        <w:rPr>
          <w:rFonts w:ascii="Arial" w:hAnsi="Arial" w:cs="Arial"/>
        </w:rPr>
      </w:pPr>
    </w:p>
    <w:p w14:paraId="084D79A4" w14:textId="77777777" w:rsidR="007D572A" w:rsidRPr="00607A3E" w:rsidRDefault="007D572A" w:rsidP="00095EB4">
      <w:pPr>
        <w:pStyle w:val="NormalWeb"/>
        <w:rPr>
          <w:rFonts w:ascii="Arial" w:hAnsi="Arial" w:cs="Arial"/>
          <w:color w:val="000000"/>
        </w:rPr>
      </w:pPr>
    </w:p>
    <w:p w14:paraId="51204AE2" w14:textId="77777777" w:rsidR="00777D3C" w:rsidRPr="00777D3C" w:rsidRDefault="00777D3C" w:rsidP="00777D3C">
      <w:pPr>
        <w:shd w:val="clear" w:color="auto" w:fill="FFFFFF"/>
        <w:jc w:val="both"/>
        <w:rPr>
          <w:rFonts w:ascii="Arial" w:hAnsi="Arial" w:cs="Arial"/>
          <w:b/>
          <w:sz w:val="22"/>
          <w:szCs w:val="22"/>
        </w:rPr>
      </w:pPr>
    </w:p>
    <w:sectPr w:rsidR="00777D3C" w:rsidRPr="00777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1D4E"/>
    <w:multiLevelType w:val="hybridMultilevel"/>
    <w:tmpl w:val="D3227EFE"/>
    <w:lvl w:ilvl="0" w:tplc="1F963912">
      <w:start w:val="1"/>
      <w:numFmt w:val="bullet"/>
      <w:lvlText w:val="•"/>
      <w:lvlJc w:val="left"/>
      <w:pPr>
        <w:tabs>
          <w:tab w:val="num" w:pos="720"/>
        </w:tabs>
        <w:ind w:left="720" w:hanging="360"/>
      </w:pPr>
      <w:rPr>
        <w:rFonts w:ascii="Times New Roman" w:hAnsi="Times New Roman" w:hint="default"/>
      </w:rPr>
    </w:lvl>
    <w:lvl w:ilvl="1" w:tplc="D1B47F7A" w:tentative="1">
      <w:start w:val="1"/>
      <w:numFmt w:val="bullet"/>
      <w:lvlText w:val="•"/>
      <w:lvlJc w:val="left"/>
      <w:pPr>
        <w:tabs>
          <w:tab w:val="num" w:pos="1440"/>
        </w:tabs>
        <w:ind w:left="1440" w:hanging="360"/>
      </w:pPr>
      <w:rPr>
        <w:rFonts w:ascii="Times New Roman" w:hAnsi="Times New Roman" w:hint="default"/>
      </w:rPr>
    </w:lvl>
    <w:lvl w:ilvl="2" w:tplc="CFB4B5CE" w:tentative="1">
      <w:start w:val="1"/>
      <w:numFmt w:val="bullet"/>
      <w:lvlText w:val="•"/>
      <w:lvlJc w:val="left"/>
      <w:pPr>
        <w:tabs>
          <w:tab w:val="num" w:pos="2160"/>
        </w:tabs>
        <w:ind w:left="2160" w:hanging="360"/>
      </w:pPr>
      <w:rPr>
        <w:rFonts w:ascii="Times New Roman" w:hAnsi="Times New Roman" w:hint="default"/>
      </w:rPr>
    </w:lvl>
    <w:lvl w:ilvl="3" w:tplc="1E3C47BA" w:tentative="1">
      <w:start w:val="1"/>
      <w:numFmt w:val="bullet"/>
      <w:lvlText w:val="•"/>
      <w:lvlJc w:val="left"/>
      <w:pPr>
        <w:tabs>
          <w:tab w:val="num" w:pos="2880"/>
        </w:tabs>
        <w:ind w:left="2880" w:hanging="360"/>
      </w:pPr>
      <w:rPr>
        <w:rFonts w:ascii="Times New Roman" w:hAnsi="Times New Roman" w:hint="default"/>
      </w:rPr>
    </w:lvl>
    <w:lvl w:ilvl="4" w:tplc="2B2EE99E" w:tentative="1">
      <w:start w:val="1"/>
      <w:numFmt w:val="bullet"/>
      <w:lvlText w:val="•"/>
      <w:lvlJc w:val="left"/>
      <w:pPr>
        <w:tabs>
          <w:tab w:val="num" w:pos="3600"/>
        </w:tabs>
        <w:ind w:left="3600" w:hanging="360"/>
      </w:pPr>
      <w:rPr>
        <w:rFonts w:ascii="Times New Roman" w:hAnsi="Times New Roman" w:hint="default"/>
      </w:rPr>
    </w:lvl>
    <w:lvl w:ilvl="5" w:tplc="E618BE04" w:tentative="1">
      <w:start w:val="1"/>
      <w:numFmt w:val="bullet"/>
      <w:lvlText w:val="•"/>
      <w:lvlJc w:val="left"/>
      <w:pPr>
        <w:tabs>
          <w:tab w:val="num" w:pos="4320"/>
        </w:tabs>
        <w:ind w:left="4320" w:hanging="360"/>
      </w:pPr>
      <w:rPr>
        <w:rFonts w:ascii="Times New Roman" w:hAnsi="Times New Roman" w:hint="default"/>
      </w:rPr>
    </w:lvl>
    <w:lvl w:ilvl="6" w:tplc="35A8F804" w:tentative="1">
      <w:start w:val="1"/>
      <w:numFmt w:val="bullet"/>
      <w:lvlText w:val="•"/>
      <w:lvlJc w:val="left"/>
      <w:pPr>
        <w:tabs>
          <w:tab w:val="num" w:pos="5040"/>
        </w:tabs>
        <w:ind w:left="5040" w:hanging="360"/>
      </w:pPr>
      <w:rPr>
        <w:rFonts w:ascii="Times New Roman" w:hAnsi="Times New Roman" w:hint="default"/>
      </w:rPr>
    </w:lvl>
    <w:lvl w:ilvl="7" w:tplc="5B32065E" w:tentative="1">
      <w:start w:val="1"/>
      <w:numFmt w:val="bullet"/>
      <w:lvlText w:val="•"/>
      <w:lvlJc w:val="left"/>
      <w:pPr>
        <w:tabs>
          <w:tab w:val="num" w:pos="5760"/>
        </w:tabs>
        <w:ind w:left="5760" w:hanging="360"/>
      </w:pPr>
      <w:rPr>
        <w:rFonts w:ascii="Times New Roman" w:hAnsi="Times New Roman" w:hint="default"/>
      </w:rPr>
    </w:lvl>
    <w:lvl w:ilvl="8" w:tplc="C0E6B68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836EAA"/>
    <w:multiLevelType w:val="hybridMultilevel"/>
    <w:tmpl w:val="71960D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0435D1"/>
    <w:multiLevelType w:val="multilevel"/>
    <w:tmpl w:val="BE1E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61E97"/>
    <w:multiLevelType w:val="hybridMultilevel"/>
    <w:tmpl w:val="14C8B8AC"/>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A71E02"/>
    <w:multiLevelType w:val="hybridMultilevel"/>
    <w:tmpl w:val="DF36D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E44496"/>
    <w:multiLevelType w:val="hybridMultilevel"/>
    <w:tmpl w:val="CD6408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C20C3B"/>
    <w:multiLevelType w:val="hybridMultilevel"/>
    <w:tmpl w:val="D6006A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3E1DCD"/>
    <w:multiLevelType w:val="hybridMultilevel"/>
    <w:tmpl w:val="B56EE6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8" w15:restartNumberingAfterBreak="0">
    <w:nsid w:val="6A8C4289"/>
    <w:multiLevelType w:val="hybridMultilevel"/>
    <w:tmpl w:val="823A8472"/>
    <w:lvl w:ilvl="0" w:tplc="1F963912">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E06CD"/>
    <w:multiLevelType w:val="hybridMultilevel"/>
    <w:tmpl w:val="112C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17E1A"/>
    <w:multiLevelType w:val="hybridMultilevel"/>
    <w:tmpl w:val="E014FA30"/>
    <w:lvl w:ilvl="0" w:tplc="1F963912">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608069">
    <w:abstractNumId w:val="5"/>
  </w:num>
  <w:num w:numId="2" w16cid:durableId="779568967">
    <w:abstractNumId w:val="6"/>
  </w:num>
  <w:num w:numId="3" w16cid:durableId="16738088">
    <w:abstractNumId w:val="0"/>
  </w:num>
  <w:num w:numId="4" w16cid:durableId="806777872">
    <w:abstractNumId w:val="7"/>
  </w:num>
  <w:num w:numId="5" w16cid:durableId="798304374">
    <w:abstractNumId w:val="3"/>
  </w:num>
  <w:num w:numId="6" w16cid:durableId="1462110756">
    <w:abstractNumId w:val="4"/>
  </w:num>
  <w:num w:numId="7" w16cid:durableId="1619482660">
    <w:abstractNumId w:val="1"/>
  </w:num>
  <w:num w:numId="8" w16cid:durableId="1613509135">
    <w:abstractNumId w:val="9"/>
  </w:num>
  <w:num w:numId="9" w16cid:durableId="1232302731">
    <w:abstractNumId w:val="10"/>
  </w:num>
  <w:num w:numId="10" w16cid:durableId="1261068539">
    <w:abstractNumId w:val="8"/>
  </w:num>
  <w:num w:numId="11" w16cid:durableId="1332175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5"/>
    <w:rsid w:val="000167E8"/>
    <w:rsid w:val="00083DD2"/>
    <w:rsid w:val="00091D2C"/>
    <w:rsid w:val="00095EB4"/>
    <w:rsid w:val="00107164"/>
    <w:rsid w:val="001D3F59"/>
    <w:rsid w:val="00227093"/>
    <w:rsid w:val="002357E7"/>
    <w:rsid w:val="002379F5"/>
    <w:rsid w:val="00251E37"/>
    <w:rsid w:val="00281DB8"/>
    <w:rsid w:val="002C3125"/>
    <w:rsid w:val="002E443F"/>
    <w:rsid w:val="00322F48"/>
    <w:rsid w:val="00364397"/>
    <w:rsid w:val="003B0AE7"/>
    <w:rsid w:val="003E51D1"/>
    <w:rsid w:val="00447B7F"/>
    <w:rsid w:val="00472104"/>
    <w:rsid w:val="004F121B"/>
    <w:rsid w:val="005145EC"/>
    <w:rsid w:val="00531EBC"/>
    <w:rsid w:val="00534848"/>
    <w:rsid w:val="005524A1"/>
    <w:rsid w:val="005A210B"/>
    <w:rsid w:val="005D33CB"/>
    <w:rsid w:val="005E32F4"/>
    <w:rsid w:val="006048C2"/>
    <w:rsid w:val="00607A3E"/>
    <w:rsid w:val="00650E42"/>
    <w:rsid w:val="006B28D1"/>
    <w:rsid w:val="006E4596"/>
    <w:rsid w:val="007524AA"/>
    <w:rsid w:val="00755E66"/>
    <w:rsid w:val="00777D3C"/>
    <w:rsid w:val="007D572A"/>
    <w:rsid w:val="00863589"/>
    <w:rsid w:val="008B7DE5"/>
    <w:rsid w:val="008D15A8"/>
    <w:rsid w:val="008F2B5D"/>
    <w:rsid w:val="00981A25"/>
    <w:rsid w:val="009A1BF9"/>
    <w:rsid w:val="00A0289C"/>
    <w:rsid w:val="00A0345E"/>
    <w:rsid w:val="00A17047"/>
    <w:rsid w:val="00A213F2"/>
    <w:rsid w:val="00A2304D"/>
    <w:rsid w:val="00A341EB"/>
    <w:rsid w:val="00A5110F"/>
    <w:rsid w:val="00A82472"/>
    <w:rsid w:val="00AB4D1C"/>
    <w:rsid w:val="00AC1DC0"/>
    <w:rsid w:val="00AE679A"/>
    <w:rsid w:val="00B41F71"/>
    <w:rsid w:val="00B6171F"/>
    <w:rsid w:val="00B62077"/>
    <w:rsid w:val="00BE277E"/>
    <w:rsid w:val="00C164B5"/>
    <w:rsid w:val="00C51111"/>
    <w:rsid w:val="00C73720"/>
    <w:rsid w:val="00C82052"/>
    <w:rsid w:val="00C91230"/>
    <w:rsid w:val="00CD72EB"/>
    <w:rsid w:val="00CF00D6"/>
    <w:rsid w:val="00CF19CA"/>
    <w:rsid w:val="00D70534"/>
    <w:rsid w:val="00DB3F0F"/>
    <w:rsid w:val="00DB5EF5"/>
    <w:rsid w:val="00DC4463"/>
    <w:rsid w:val="00E3384D"/>
    <w:rsid w:val="00E52C7E"/>
    <w:rsid w:val="00E605BA"/>
    <w:rsid w:val="00E879AD"/>
    <w:rsid w:val="00EF1152"/>
    <w:rsid w:val="00F0233D"/>
    <w:rsid w:val="00F12FAE"/>
    <w:rsid w:val="00F70714"/>
    <w:rsid w:val="00F741C3"/>
    <w:rsid w:val="00F94528"/>
    <w:rsid w:val="00FC681A"/>
    <w:rsid w:val="00FE08EE"/>
    <w:rsid w:val="00FF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D5E7"/>
  <w15:chartTrackingRefBased/>
  <w15:docId w15:val="{BE9416E0-30E7-4FF3-B340-69D33D9C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5EF5"/>
    <w:pPr>
      <w:spacing w:after="120"/>
    </w:pPr>
  </w:style>
  <w:style w:type="character" w:customStyle="1" w:styleId="BodyTextChar">
    <w:name w:val="Body Text Char"/>
    <w:basedOn w:val="DefaultParagraphFont"/>
    <w:link w:val="BodyText"/>
    <w:rsid w:val="00DB5EF5"/>
    <w:rPr>
      <w:rFonts w:ascii="Times New Roman" w:eastAsia="Times New Roman" w:hAnsi="Times New Roman" w:cs="Times New Roman"/>
      <w:sz w:val="24"/>
      <w:szCs w:val="24"/>
    </w:rPr>
  </w:style>
  <w:style w:type="paragraph" w:styleId="ListParagraph">
    <w:name w:val="List Paragraph"/>
    <w:basedOn w:val="Normal"/>
    <w:uiPriority w:val="34"/>
    <w:qFormat/>
    <w:rsid w:val="00DB5EF5"/>
    <w:pPr>
      <w:ind w:left="720"/>
      <w:contextualSpacing/>
    </w:pPr>
  </w:style>
  <w:style w:type="paragraph" w:styleId="NormalWeb">
    <w:name w:val="Normal (Web)"/>
    <w:basedOn w:val="Normal"/>
    <w:uiPriority w:val="99"/>
    <w:unhideWhenUsed/>
    <w:rsid w:val="00534848"/>
    <w:pPr>
      <w:spacing w:before="100" w:beforeAutospacing="1" w:after="100" w:afterAutospacing="1"/>
    </w:pPr>
  </w:style>
  <w:style w:type="character" w:styleId="Strong">
    <w:name w:val="Strong"/>
    <w:basedOn w:val="DefaultParagraphFont"/>
    <w:uiPriority w:val="22"/>
    <w:qFormat/>
    <w:rsid w:val="000167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9720">
      <w:bodyDiv w:val="1"/>
      <w:marLeft w:val="0"/>
      <w:marRight w:val="0"/>
      <w:marTop w:val="0"/>
      <w:marBottom w:val="0"/>
      <w:divBdr>
        <w:top w:val="none" w:sz="0" w:space="0" w:color="auto"/>
        <w:left w:val="none" w:sz="0" w:space="0" w:color="auto"/>
        <w:bottom w:val="none" w:sz="0" w:space="0" w:color="auto"/>
        <w:right w:val="none" w:sz="0" w:space="0" w:color="auto"/>
      </w:divBdr>
      <w:divsChild>
        <w:div w:id="590815222">
          <w:marLeft w:val="0"/>
          <w:marRight w:val="0"/>
          <w:marTop w:val="0"/>
          <w:marBottom w:val="0"/>
          <w:divBdr>
            <w:top w:val="none" w:sz="0" w:space="0" w:color="auto"/>
            <w:left w:val="none" w:sz="0" w:space="0" w:color="auto"/>
            <w:bottom w:val="none" w:sz="0" w:space="0" w:color="auto"/>
            <w:right w:val="none" w:sz="0" w:space="0" w:color="auto"/>
          </w:divBdr>
        </w:div>
        <w:div w:id="1014579424">
          <w:marLeft w:val="0"/>
          <w:marRight w:val="0"/>
          <w:marTop w:val="240"/>
          <w:marBottom w:val="240"/>
          <w:divBdr>
            <w:top w:val="none" w:sz="0" w:space="0" w:color="auto"/>
            <w:left w:val="none" w:sz="0" w:space="0" w:color="auto"/>
            <w:bottom w:val="none" w:sz="0" w:space="0" w:color="auto"/>
            <w:right w:val="none" w:sz="0" w:space="0" w:color="auto"/>
          </w:divBdr>
        </w:div>
        <w:div w:id="1951352961">
          <w:marLeft w:val="0"/>
          <w:marRight w:val="0"/>
          <w:marTop w:val="240"/>
          <w:marBottom w:val="240"/>
          <w:divBdr>
            <w:top w:val="none" w:sz="0" w:space="0" w:color="auto"/>
            <w:left w:val="none" w:sz="0" w:space="0" w:color="auto"/>
            <w:bottom w:val="none" w:sz="0" w:space="0" w:color="auto"/>
            <w:right w:val="none" w:sz="0" w:space="0" w:color="auto"/>
          </w:divBdr>
        </w:div>
        <w:div w:id="495071904">
          <w:marLeft w:val="360"/>
          <w:marRight w:val="0"/>
          <w:marTop w:val="240"/>
          <w:marBottom w:val="240"/>
          <w:divBdr>
            <w:top w:val="none" w:sz="0" w:space="0" w:color="auto"/>
            <w:left w:val="none" w:sz="0" w:space="0" w:color="auto"/>
            <w:bottom w:val="none" w:sz="0" w:space="0" w:color="auto"/>
            <w:right w:val="none" w:sz="0" w:space="0" w:color="auto"/>
          </w:divBdr>
        </w:div>
        <w:div w:id="813521746">
          <w:marLeft w:val="360"/>
          <w:marRight w:val="0"/>
          <w:marTop w:val="240"/>
          <w:marBottom w:val="240"/>
          <w:divBdr>
            <w:top w:val="none" w:sz="0" w:space="0" w:color="auto"/>
            <w:left w:val="none" w:sz="0" w:space="0" w:color="auto"/>
            <w:bottom w:val="none" w:sz="0" w:space="0" w:color="auto"/>
            <w:right w:val="none" w:sz="0" w:space="0" w:color="auto"/>
          </w:divBdr>
        </w:div>
      </w:divsChild>
    </w:div>
    <w:div w:id="803624990">
      <w:bodyDiv w:val="1"/>
      <w:marLeft w:val="0"/>
      <w:marRight w:val="0"/>
      <w:marTop w:val="0"/>
      <w:marBottom w:val="0"/>
      <w:divBdr>
        <w:top w:val="none" w:sz="0" w:space="0" w:color="auto"/>
        <w:left w:val="none" w:sz="0" w:space="0" w:color="auto"/>
        <w:bottom w:val="none" w:sz="0" w:space="0" w:color="auto"/>
        <w:right w:val="none" w:sz="0" w:space="0" w:color="auto"/>
      </w:divBdr>
      <w:divsChild>
        <w:div w:id="1392080040">
          <w:marLeft w:val="0"/>
          <w:marRight w:val="0"/>
          <w:marTop w:val="0"/>
          <w:marBottom w:val="0"/>
          <w:divBdr>
            <w:top w:val="none" w:sz="0" w:space="0" w:color="auto"/>
            <w:left w:val="none" w:sz="0" w:space="0" w:color="auto"/>
            <w:bottom w:val="none" w:sz="0" w:space="0" w:color="auto"/>
            <w:right w:val="none" w:sz="0" w:space="0" w:color="auto"/>
          </w:divBdr>
        </w:div>
        <w:div w:id="2116053622">
          <w:marLeft w:val="0"/>
          <w:marRight w:val="0"/>
          <w:marTop w:val="240"/>
          <w:marBottom w:val="240"/>
          <w:divBdr>
            <w:top w:val="none" w:sz="0" w:space="0" w:color="auto"/>
            <w:left w:val="none" w:sz="0" w:space="0" w:color="auto"/>
            <w:bottom w:val="none" w:sz="0" w:space="0" w:color="auto"/>
            <w:right w:val="none" w:sz="0" w:space="0" w:color="auto"/>
          </w:divBdr>
        </w:div>
        <w:div w:id="1489707994">
          <w:marLeft w:val="0"/>
          <w:marRight w:val="0"/>
          <w:marTop w:val="240"/>
          <w:marBottom w:val="240"/>
          <w:divBdr>
            <w:top w:val="none" w:sz="0" w:space="0" w:color="auto"/>
            <w:left w:val="none" w:sz="0" w:space="0" w:color="auto"/>
            <w:bottom w:val="none" w:sz="0" w:space="0" w:color="auto"/>
            <w:right w:val="none" w:sz="0" w:space="0" w:color="auto"/>
          </w:divBdr>
        </w:div>
        <w:div w:id="1821387892">
          <w:marLeft w:val="360"/>
          <w:marRight w:val="0"/>
          <w:marTop w:val="240"/>
          <w:marBottom w:val="240"/>
          <w:divBdr>
            <w:top w:val="none" w:sz="0" w:space="0" w:color="auto"/>
            <w:left w:val="none" w:sz="0" w:space="0" w:color="auto"/>
            <w:bottom w:val="none" w:sz="0" w:space="0" w:color="auto"/>
            <w:right w:val="none" w:sz="0" w:space="0" w:color="auto"/>
          </w:divBdr>
        </w:div>
        <w:div w:id="1814643080">
          <w:marLeft w:val="360"/>
          <w:marRight w:val="0"/>
          <w:marTop w:val="240"/>
          <w:marBottom w:val="240"/>
          <w:divBdr>
            <w:top w:val="none" w:sz="0" w:space="0" w:color="auto"/>
            <w:left w:val="none" w:sz="0" w:space="0" w:color="auto"/>
            <w:bottom w:val="none" w:sz="0" w:space="0" w:color="auto"/>
            <w:right w:val="none" w:sz="0" w:space="0" w:color="auto"/>
          </w:divBdr>
        </w:div>
        <w:div w:id="686099888">
          <w:marLeft w:val="0"/>
          <w:marRight w:val="0"/>
          <w:marTop w:val="240"/>
          <w:marBottom w:val="240"/>
          <w:divBdr>
            <w:top w:val="none" w:sz="0" w:space="0" w:color="auto"/>
            <w:left w:val="none" w:sz="0" w:space="0" w:color="auto"/>
            <w:bottom w:val="none" w:sz="0" w:space="0" w:color="auto"/>
            <w:right w:val="none" w:sz="0" w:space="0" w:color="auto"/>
          </w:divBdr>
        </w:div>
        <w:div w:id="765733316">
          <w:marLeft w:val="0"/>
          <w:marRight w:val="0"/>
          <w:marTop w:val="240"/>
          <w:marBottom w:val="240"/>
          <w:divBdr>
            <w:top w:val="none" w:sz="0" w:space="0" w:color="auto"/>
            <w:left w:val="none" w:sz="0" w:space="0" w:color="auto"/>
            <w:bottom w:val="none" w:sz="0" w:space="0" w:color="auto"/>
            <w:right w:val="none" w:sz="0" w:space="0" w:color="auto"/>
          </w:divBdr>
        </w:div>
        <w:div w:id="1642728293">
          <w:marLeft w:val="360"/>
          <w:marRight w:val="0"/>
          <w:marTop w:val="0"/>
          <w:marBottom w:val="60"/>
          <w:divBdr>
            <w:top w:val="none" w:sz="0" w:space="0" w:color="auto"/>
            <w:left w:val="none" w:sz="0" w:space="0" w:color="auto"/>
            <w:bottom w:val="none" w:sz="0" w:space="0" w:color="auto"/>
            <w:right w:val="none" w:sz="0" w:space="0" w:color="auto"/>
          </w:divBdr>
        </w:div>
      </w:divsChild>
    </w:div>
    <w:div w:id="936255205">
      <w:bodyDiv w:val="1"/>
      <w:marLeft w:val="0"/>
      <w:marRight w:val="0"/>
      <w:marTop w:val="0"/>
      <w:marBottom w:val="0"/>
      <w:divBdr>
        <w:top w:val="none" w:sz="0" w:space="0" w:color="auto"/>
        <w:left w:val="none" w:sz="0" w:space="0" w:color="auto"/>
        <w:bottom w:val="none" w:sz="0" w:space="0" w:color="auto"/>
        <w:right w:val="none" w:sz="0" w:space="0" w:color="auto"/>
      </w:divBdr>
      <w:divsChild>
        <w:div w:id="1058944554">
          <w:marLeft w:val="0"/>
          <w:marRight w:val="0"/>
          <w:marTop w:val="0"/>
          <w:marBottom w:val="0"/>
          <w:divBdr>
            <w:top w:val="none" w:sz="0" w:space="0" w:color="auto"/>
            <w:left w:val="none" w:sz="0" w:space="0" w:color="auto"/>
            <w:bottom w:val="none" w:sz="0" w:space="0" w:color="auto"/>
            <w:right w:val="none" w:sz="0" w:space="0" w:color="auto"/>
          </w:divBdr>
        </w:div>
        <w:div w:id="186330049">
          <w:marLeft w:val="0"/>
          <w:marRight w:val="0"/>
          <w:marTop w:val="240"/>
          <w:marBottom w:val="240"/>
          <w:divBdr>
            <w:top w:val="none" w:sz="0" w:space="0" w:color="auto"/>
            <w:left w:val="none" w:sz="0" w:space="0" w:color="auto"/>
            <w:bottom w:val="none" w:sz="0" w:space="0" w:color="auto"/>
            <w:right w:val="none" w:sz="0" w:space="0" w:color="auto"/>
          </w:divBdr>
        </w:div>
        <w:div w:id="795220586">
          <w:marLeft w:val="0"/>
          <w:marRight w:val="0"/>
          <w:marTop w:val="240"/>
          <w:marBottom w:val="240"/>
          <w:divBdr>
            <w:top w:val="none" w:sz="0" w:space="0" w:color="auto"/>
            <w:left w:val="none" w:sz="0" w:space="0" w:color="auto"/>
            <w:bottom w:val="none" w:sz="0" w:space="0" w:color="auto"/>
            <w:right w:val="none" w:sz="0" w:space="0" w:color="auto"/>
          </w:divBdr>
        </w:div>
        <w:div w:id="1644039379">
          <w:marLeft w:val="360"/>
          <w:marRight w:val="0"/>
          <w:marTop w:val="240"/>
          <w:marBottom w:val="240"/>
          <w:divBdr>
            <w:top w:val="none" w:sz="0" w:space="0" w:color="auto"/>
            <w:left w:val="none" w:sz="0" w:space="0" w:color="auto"/>
            <w:bottom w:val="none" w:sz="0" w:space="0" w:color="auto"/>
            <w:right w:val="none" w:sz="0" w:space="0" w:color="auto"/>
          </w:divBdr>
        </w:div>
        <w:div w:id="349572021">
          <w:marLeft w:val="360"/>
          <w:marRight w:val="0"/>
          <w:marTop w:val="240"/>
          <w:marBottom w:val="240"/>
          <w:divBdr>
            <w:top w:val="none" w:sz="0" w:space="0" w:color="auto"/>
            <w:left w:val="none" w:sz="0" w:space="0" w:color="auto"/>
            <w:bottom w:val="none" w:sz="0" w:space="0" w:color="auto"/>
            <w:right w:val="none" w:sz="0" w:space="0" w:color="auto"/>
          </w:divBdr>
        </w:div>
      </w:divsChild>
    </w:div>
    <w:div w:id="1052731403">
      <w:bodyDiv w:val="1"/>
      <w:marLeft w:val="0"/>
      <w:marRight w:val="0"/>
      <w:marTop w:val="0"/>
      <w:marBottom w:val="0"/>
      <w:divBdr>
        <w:top w:val="none" w:sz="0" w:space="0" w:color="auto"/>
        <w:left w:val="none" w:sz="0" w:space="0" w:color="auto"/>
        <w:bottom w:val="none" w:sz="0" w:space="0" w:color="auto"/>
        <w:right w:val="none" w:sz="0" w:space="0" w:color="auto"/>
      </w:divBdr>
    </w:div>
    <w:div w:id="2064717511">
      <w:bodyDiv w:val="1"/>
      <w:marLeft w:val="0"/>
      <w:marRight w:val="0"/>
      <w:marTop w:val="0"/>
      <w:marBottom w:val="0"/>
      <w:divBdr>
        <w:top w:val="none" w:sz="0" w:space="0" w:color="auto"/>
        <w:left w:val="none" w:sz="0" w:space="0" w:color="auto"/>
        <w:bottom w:val="none" w:sz="0" w:space="0" w:color="auto"/>
        <w:right w:val="none" w:sz="0" w:space="0" w:color="auto"/>
      </w:divBdr>
      <w:divsChild>
        <w:div w:id="1778210609">
          <w:marLeft w:val="0"/>
          <w:marRight w:val="0"/>
          <w:marTop w:val="0"/>
          <w:marBottom w:val="0"/>
          <w:divBdr>
            <w:top w:val="none" w:sz="0" w:space="0" w:color="auto"/>
            <w:left w:val="none" w:sz="0" w:space="0" w:color="auto"/>
            <w:bottom w:val="none" w:sz="0" w:space="0" w:color="auto"/>
            <w:right w:val="none" w:sz="0" w:space="0" w:color="auto"/>
          </w:divBdr>
        </w:div>
        <w:div w:id="136341853">
          <w:marLeft w:val="0"/>
          <w:marRight w:val="0"/>
          <w:marTop w:val="240"/>
          <w:marBottom w:val="240"/>
          <w:divBdr>
            <w:top w:val="none" w:sz="0" w:space="0" w:color="auto"/>
            <w:left w:val="none" w:sz="0" w:space="0" w:color="auto"/>
            <w:bottom w:val="none" w:sz="0" w:space="0" w:color="auto"/>
            <w:right w:val="none" w:sz="0" w:space="0" w:color="auto"/>
          </w:divBdr>
        </w:div>
        <w:div w:id="784077303">
          <w:marLeft w:val="0"/>
          <w:marRight w:val="0"/>
          <w:marTop w:val="240"/>
          <w:marBottom w:val="240"/>
          <w:divBdr>
            <w:top w:val="none" w:sz="0" w:space="0" w:color="auto"/>
            <w:left w:val="none" w:sz="0" w:space="0" w:color="auto"/>
            <w:bottom w:val="none" w:sz="0" w:space="0" w:color="auto"/>
            <w:right w:val="none" w:sz="0" w:space="0" w:color="auto"/>
          </w:divBdr>
        </w:div>
        <w:div w:id="895579715">
          <w:marLeft w:val="360"/>
          <w:marRight w:val="0"/>
          <w:marTop w:val="240"/>
          <w:marBottom w:val="240"/>
          <w:divBdr>
            <w:top w:val="none" w:sz="0" w:space="0" w:color="auto"/>
            <w:left w:val="none" w:sz="0" w:space="0" w:color="auto"/>
            <w:bottom w:val="none" w:sz="0" w:space="0" w:color="auto"/>
            <w:right w:val="none" w:sz="0" w:space="0" w:color="auto"/>
          </w:divBdr>
        </w:div>
        <w:div w:id="174267287">
          <w:marLeft w:val="360"/>
          <w:marRight w:val="0"/>
          <w:marTop w:val="240"/>
          <w:marBottom w:val="240"/>
          <w:divBdr>
            <w:top w:val="none" w:sz="0" w:space="0" w:color="auto"/>
            <w:left w:val="none" w:sz="0" w:space="0" w:color="auto"/>
            <w:bottom w:val="none" w:sz="0" w:space="0" w:color="auto"/>
            <w:right w:val="none" w:sz="0" w:space="0" w:color="auto"/>
          </w:divBdr>
        </w:div>
        <w:div w:id="1989236958">
          <w:marLeft w:val="0"/>
          <w:marRight w:val="0"/>
          <w:marTop w:val="240"/>
          <w:marBottom w:val="240"/>
          <w:divBdr>
            <w:top w:val="none" w:sz="0" w:space="0" w:color="auto"/>
            <w:left w:val="none" w:sz="0" w:space="0" w:color="auto"/>
            <w:bottom w:val="none" w:sz="0" w:space="0" w:color="auto"/>
            <w:right w:val="none" w:sz="0" w:space="0" w:color="auto"/>
          </w:divBdr>
        </w:div>
        <w:div w:id="1358385512">
          <w:marLeft w:val="0"/>
          <w:marRight w:val="0"/>
          <w:marTop w:val="240"/>
          <w:marBottom w:val="240"/>
          <w:divBdr>
            <w:top w:val="none" w:sz="0" w:space="0" w:color="auto"/>
            <w:left w:val="none" w:sz="0" w:space="0" w:color="auto"/>
            <w:bottom w:val="none" w:sz="0" w:space="0" w:color="auto"/>
            <w:right w:val="none" w:sz="0" w:space="0" w:color="auto"/>
          </w:divBdr>
        </w:div>
        <w:div w:id="449664239">
          <w:marLeft w:val="36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Fatahzadeh, Mahnaz</dc:creator>
  <cp:keywords/>
  <dc:description/>
  <cp:lastModifiedBy>Mahnaz Fatahzadeh</cp:lastModifiedBy>
  <cp:revision>5</cp:revision>
  <dcterms:created xsi:type="dcterms:W3CDTF">2026-08-18T19:24:00Z</dcterms:created>
  <dcterms:modified xsi:type="dcterms:W3CDTF">2026-09-05T15:43:00Z</dcterms:modified>
</cp:coreProperties>
</file>